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1E0" w:firstRow="1" w:lastRow="1" w:firstColumn="1" w:lastColumn="1" w:noHBand="0" w:noVBand="0"/>
      </w:tblPr>
      <w:tblGrid>
        <w:gridCol w:w="3348"/>
        <w:gridCol w:w="6116"/>
      </w:tblGrid>
      <w:tr w:rsidR="00FE246C" w:rsidRPr="00FE246C" w:rsidTr="006F5961">
        <w:tc>
          <w:tcPr>
            <w:tcW w:w="3348" w:type="dxa"/>
          </w:tcPr>
          <w:p w:rsidR="006F5961" w:rsidRPr="00FE246C" w:rsidRDefault="006F5961" w:rsidP="006F5961">
            <w:pPr>
              <w:jc w:val="center"/>
              <w:rPr>
                <w:b/>
              </w:rPr>
            </w:pPr>
            <w:r w:rsidRPr="00FE246C">
              <w:rPr>
                <w:b/>
              </w:rPr>
              <w:t>HỘI ĐỒNG NHÂN DÂN TỈNH ĐỒNG THÁP</w:t>
            </w:r>
          </w:p>
          <w:p w:rsidR="006F5961" w:rsidRPr="00FE246C" w:rsidRDefault="006F5961" w:rsidP="006F5961">
            <w:pPr>
              <w:jc w:val="center"/>
              <w:rPr>
                <w:b/>
              </w:rPr>
            </w:pPr>
            <w:r w:rsidRPr="00FE246C">
              <w:rPr>
                <w:b/>
              </w:rPr>
              <w:t>-----------</w:t>
            </w:r>
          </w:p>
        </w:tc>
        <w:tc>
          <w:tcPr>
            <w:tcW w:w="6116" w:type="dxa"/>
          </w:tcPr>
          <w:p w:rsidR="006F5961" w:rsidRPr="00FE246C" w:rsidRDefault="006F5961" w:rsidP="006F5961">
            <w:pPr>
              <w:jc w:val="center"/>
              <w:rPr>
                <w:b/>
              </w:rPr>
            </w:pPr>
            <w:r w:rsidRPr="00FE246C">
              <w:rPr>
                <w:b/>
              </w:rPr>
              <w:t>CỘNG HÒA XÃ HỘI CHỦ NGHĨA VIỆT NAM</w:t>
            </w:r>
            <w:r w:rsidRPr="00FE246C">
              <w:rPr>
                <w:b/>
              </w:rPr>
              <w:br/>
              <w:t>Độc lập - Tự do - Hạnh phúc</w:t>
            </w:r>
          </w:p>
          <w:p w:rsidR="006F5961" w:rsidRPr="00FE246C" w:rsidRDefault="006F5961" w:rsidP="006F5961">
            <w:pPr>
              <w:jc w:val="center"/>
            </w:pPr>
            <w:r w:rsidRPr="00FE246C">
              <w:rPr>
                <w:b/>
              </w:rPr>
              <w:t xml:space="preserve">----------------- </w:t>
            </w:r>
          </w:p>
        </w:tc>
      </w:tr>
      <w:tr w:rsidR="00FE246C" w:rsidRPr="00FE246C" w:rsidTr="006F5961">
        <w:tc>
          <w:tcPr>
            <w:tcW w:w="3348" w:type="dxa"/>
          </w:tcPr>
          <w:p w:rsidR="006F5961" w:rsidRPr="00FE246C" w:rsidRDefault="006F5961" w:rsidP="006F5961">
            <w:pPr>
              <w:jc w:val="center"/>
            </w:pPr>
            <w:r w:rsidRPr="00FE246C">
              <w:t>Số:....../20…/NQ-HĐND</w:t>
            </w:r>
          </w:p>
        </w:tc>
        <w:tc>
          <w:tcPr>
            <w:tcW w:w="6116" w:type="dxa"/>
          </w:tcPr>
          <w:p w:rsidR="006F5961" w:rsidRPr="00FE246C" w:rsidRDefault="006F5961" w:rsidP="006F5961">
            <w:pPr>
              <w:jc w:val="center"/>
              <w:rPr>
                <w:i/>
              </w:rPr>
            </w:pPr>
            <w:r w:rsidRPr="00FE246C">
              <w:rPr>
                <w:i/>
              </w:rPr>
              <w:t>Đồng Tháp, ngày ... tháng ….năm 20….</w:t>
            </w:r>
          </w:p>
        </w:tc>
      </w:tr>
    </w:tbl>
    <w:p w:rsidR="006F5961" w:rsidRPr="00FE246C" w:rsidRDefault="006F5961" w:rsidP="006F5961"/>
    <w:p w:rsidR="006F5961" w:rsidRPr="00FE246C" w:rsidRDefault="006F5961" w:rsidP="006F5961">
      <w:pPr>
        <w:spacing w:before="0" w:line="240" w:lineRule="auto"/>
        <w:jc w:val="center"/>
        <w:rPr>
          <w:b/>
        </w:rPr>
      </w:pPr>
      <w:r w:rsidRPr="00FE246C">
        <w:rPr>
          <w:b/>
        </w:rPr>
        <w:t>NGHỊ QUYẾT</w:t>
      </w:r>
    </w:p>
    <w:p w:rsidR="006F5961" w:rsidRPr="00FE246C" w:rsidRDefault="006F5961" w:rsidP="006F5961">
      <w:pPr>
        <w:spacing w:before="0" w:line="240" w:lineRule="auto"/>
        <w:jc w:val="center"/>
        <w:rPr>
          <w:b/>
        </w:rPr>
      </w:pPr>
      <w:r w:rsidRPr="00FE246C">
        <w:rPr>
          <w:b/>
        </w:rPr>
        <w:t>Ban hành quy định một số chính sách khuyến khích</w:t>
      </w:r>
    </w:p>
    <w:p w:rsidR="006F5961" w:rsidRPr="00FE246C" w:rsidRDefault="006F5961" w:rsidP="006F5961">
      <w:pPr>
        <w:spacing w:before="0" w:line="240" w:lineRule="auto"/>
        <w:jc w:val="center"/>
        <w:rPr>
          <w:b/>
        </w:rPr>
      </w:pPr>
      <w:r w:rsidRPr="00FE246C">
        <w:rPr>
          <w:b/>
        </w:rPr>
        <w:t>các tổ chức kinh tế đầu tư vào hoạt động khoa học và công nghệ</w:t>
      </w:r>
    </w:p>
    <w:p w:rsidR="006F5961" w:rsidRPr="00FE246C" w:rsidRDefault="006F5961" w:rsidP="006F5961">
      <w:pPr>
        <w:spacing w:before="0" w:line="240" w:lineRule="auto"/>
        <w:jc w:val="center"/>
        <w:rPr>
          <w:b/>
        </w:rPr>
      </w:pPr>
      <w:r w:rsidRPr="00FE246C">
        <w:rPr>
          <w:b/>
        </w:rPr>
        <w:t>trên địa bàn tỉnh Đồng Tháp</w:t>
      </w:r>
    </w:p>
    <w:p w:rsidR="006F5961" w:rsidRPr="00FE246C" w:rsidRDefault="008965B0" w:rsidP="006F5961">
      <w:pP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-356235</wp:posOffset>
                </wp:positionH>
                <wp:positionV relativeFrom="paragraph">
                  <wp:posOffset>140335</wp:posOffset>
                </wp:positionV>
                <wp:extent cx="1181100" cy="333375"/>
                <wp:effectExtent l="5715" t="6985" r="13335"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3375"/>
                        </a:xfrm>
                        <a:prstGeom prst="rect">
                          <a:avLst/>
                        </a:prstGeom>
                        <a:solidFill>
                          <a:srgbClr val="FFFFFF"/>
                        </a:solidFill>
                        <a:ln w="9525">
                          <a:solidFill>
                            <a:srgbClr val="000000"/>
                          </a:solidFill>
                          <a:miter lim="800000"/>
                          <a:headEnd/>
                          <a:tailEnd/>
                        </a:ln>
                      </wps:spPr>
                      <wps:txbx>
                        <w:txbxContent>
                          <w:p w:rsidR="00E65CE6" w:rsidRPr="00E65CE6" w:rsidRDefault="00E65CE6" w:rsidP="00E65CE6">
                            <w:pPr>
                              <w:jc w:val="center"/>
                              <w:rPr>
                                <w:b/>
                                <w:color w:val="FF0000"/>
                              </w:rPr>
                            </w:pPr>
                            <w:r w:rsidRPr="00E65CE6">
                              <w:rPr>
                                <w:b/>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05pt;margin-top:11.05pt;width:93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">
                <v:textbox>
                  <w:txbxContent>
                    <w:p w:rsidR="00E65CE6" w:rsidRPr="00E65CE6" w:rsidRDefault="00E65CE6" w:rsidP="00E65CE6">
                      <w:pPr>
                        <w:jc w:val="center"/>
                        <w:rPr>
                          <w:b/>
                          <w:color w:val="FF0000"/>
                        </w:rPr>
                      </w:pPr>
                      <w:r w:rsidRPr="00E65CE6">
                        <w:rPr>
                          <w:b/>
                          <w:color w:val="FF0000"/>
                        </w:rPr>
                        <w:t>DỰ THẢO</w:t>
                      </w:r>
                    </w:p>
                  </w:txbxContent>
                </v:textbox>
              </v:rect>
            </w:pict>
          </mc:Fallback>
        </mc:AlternateContent>
      </w:r>
      <w:r>
        <w:rPr>
          <w:b/>
          <w:noProof/>
        </w:rPr>
        <mc:AlternateContent>
          <mc:Choice Requires="wps">
            <w:drawing>
              <wp:anchor distT="4294967295" distB="4294967295" distL="114300" distR="114300" simplePos="0" relativeHeight="251660288" behindDoc="0" locked="0" layoutInCell="1" allowOverlap="1">
                <wp:simplePos x="0" y="0"/>
                <wp:positionH relativeFrom="column">
                  <wp:posOffset>2210435</wp:posOffset>
                </wp:positionH>
                <wp:positionV relativeFrom="paragraph">
                  <wp:posOffset>28574</wp:posOffset>
                </wp:positionV>
                <wp:extent cx="1288415" cy="0"/>
                <wp:effectExtent l="0" t="0" r="260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74.05pt;margin-top:2.25pt;width:101.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"/>
            </w:pict>
          </mc:Fallback>
        </mc:AlternateContent>
      </w:r>
    </w:p>
    <w:p w:rsidR="006F5961" w:rsidRPr="00FE246C" w:rsidRDefault="006F5961" w:rsidP="006F5961">
      <w:pPr>
        <w:jc w:val="center"/>
        <w:rPr>
          <w:b/>
        </w:rPr>
      </w:pPr>
      <w:r w:rsidRPr="00FE246C">
        <w:rPr>
          <w:b/>
        </w:rPr>
        <w:t>HỘI ĐỒNG NHÂN DÂN TỈNH ĐỒNG THÁP</w:t>
      </w:r>
      <w:r w:rsidRPr="00FE246C">
        <w:rPr>
          <w:b/>
        </w:rPr>
        <w:br/>
        <w:t>KHÓA...</w:t>
      </w:r>
      <w:r w:rsidR="00E65CE6" w:rsidRPr="00FE246C">
        <w:rPr>
          <w:b/>
        </w:rPr>
        <w:t>..</w:t>
      </w:r>
      <w:r w:rsidRPr="00FE246C">
        <w:rPr>
          <w:b/>
        </w:rPr>
        <w:t>KỲ HỌP THỨ...</w:t>
      </w:r>
      <w:r w:rsidR="00E65CE6" w:rsidRPr="00FE246C">
        <w:rPr>
          <w:b/>
        </w:rPr>
        <w:t>...</w:t>
      </w:r>
    </w:p>
    <w:p w:rsidR="006F5961" w:rsidRPr="00FE246C" w:rsidRDefault="006F5961" w:rsidP="006F5961">
      <w:pPr>
        <w:jc w:val="both"/>
        <w:rPr>
          <w:i/>
          <w:lang w:val="vi-VN"/>
        </w:rPr>
      </w:pPr>
      <w:r w:rsidRPr="00FE246C">
        <w:rPr>
          <w:i/>
          <w:lang w:val="en-GB"/>
        </w:rPr>
        <w:t xml:space="preserve">          </w:t>
      </w:r>
      <w:r w:rsidRPr="00FE246C">
        <w:rPr>
          <w:i/>
          <w:lang w:val="vi-VN"/>
        </w:rPr>
        <w:tab/>
      </w:r>
      <w:r w:rsidRPr="00FE246C">
        <w:rPr>
          <w:i/>
          <w:lang w:val="en-GB"/>
        </w:rPr>
        <w:t>Căn cứ Luật Tổ chức chính quyền địa phương ngày 19</w:t>
      </w:r>
      <w:r w:rsidRPr="00FE246C">
        <w:rPr>
          <w:i/>
          <w:lang w:val="vi-VN"/>
        </w:rPr>
        <w:t xml:space="preserve"> </w:t>
      </w:r>
      <w:r w:rsidRPr="00FE246C">
        <w:rPr>
          <w:i/>
          <w:lang w:val="en-GB"/>
        </w:rPr>
        <w:t>tháng 6 năm 2015;</w:t>
      </w:r>
    </w:p>
    <w:p w:rsidR="006F5961" w:rsidRPr="00FE246C" w:rsidRDefault="006F5961" w:rsidP="00192EEF">
      <w:pPr>
        <w:ind w:firstLine="720"/>
        <w:jc w:val="both"/>
        <w:rPr>
          <w:i/>
          <w:spacing w:val="-10"/>
        </w:rPr>
      </w:pPr>
      <w:r w:rsidRPr="00FE246C">
        <w:rPr>
          <w:i/>
          <w:spacing w:val="-10"/>
        </w:rPr>
        <w:t>Căn cứ Luật ban hành văn bản quy phạm pháp luật ngày 22 tháng 6 năm 2015;</w:t>
      </w:r>
    </w:p>
    <w:p w:rsidR="00192EEF" w:rsidRPr="00FE246C" w:rsidRDefault="00192EEF" w:rsidP="00192EEF">
      <w:pPr>
        <w:ind w:firstLine="720"/>
        <w:jc w:val="both"/>
        <w:rPr>
          <w:i/>
          <w:spacing w:val="-10"/>
        </w:rPr>
      </w:pPr>
      <w:r w:rsidRPr="00FE246C">
        <w:rPr>
          <w:i/>
          <w:lang w:val="it-IT"/>
        </w:rPr>
        <w:t>Căn cứ Luật Khoa học và Công nghệ ngày 18 tháng 6 năm 2013;</w:t>
      </w:r>
    </w:p>
    <w:p w:rsidR="006F5961" w:rsidRPr="00FE246C" w:rsidRDefault="006F5961" w:rsidP="006F5961">
      <w:pPr>
        <w:jc w:val="both"/>
        <w:rPr>
          <w:i/>
        </w:rPr>
      </w:pPr>
      <w:r w:rsidRPr="00FE246C">
        <w:tab/>
      </w:r>
      <w:r w:rsidRPr="00FE246C">
        <w:rPr>
          <w:i/>
        </w:rPr>
        <w:t>Căn cứ Luật Đầu tư ngày 26 tháng 11 năm 2014;</w:t>
      </w:r>
    </w:p>
    <w:p w:rsidR="006F5961" w:rsidRPr="00FE246C" w:rsidRDefault="006F5961" w:rsidP="006F5961">
      <w:pPr>
        <w:jc w:val="both"/>
        <w:rPr>
          <w:i/>
        </w:rPr>
      </w:pPr>
      <w:r w:rsidRPr="00FE246C">
        <w:tab/>
      </w:r>
      <w:r w:rsidRPr="00FE246C">
        <w:rPr>
          <w:i/>
        </w:rPr>
        <w:t>Căn cứ Luật Chuyển giao công nghệ ngày 19 tháng 6 năm 2017;</w:t>
      </w:r>
    </w:p>
    <w:p w:rsidR="006F5961" w:rsidRPr="00FE246C" w:rsidRDefault="006F5961" w:rsidP="006F5961">
      <w:pPr>
        <w:jc w:val="both"/>
        <w:rPr>
          <w:i/>
        </w:rPr>
      </w:pPr>
      <w:r w:rsidRPr="00FE246C">
        <w:rPr>
          <w:i/>
        </w:rPr>
        <w:tab/>
        <w:t xml:space="preserve">Căn cứ Luật Hỗ trợ doanh nghiệp nhỏ và vừa </w:t>
      </w:r>
      <w:r w:rsidR="00192EEF" w:rsidRPr="00FE246C">
        <w:rPr>
          <w:i/>
          <w:lang w:val="it-IT"/>
        </w:rPr>
        <w:t>ngày 12 tháng 6 năm 2017</w:t>
      </w:r>
      <w:r w:rsidRPr="00FE246C">
        <w:rPr>
          <w:i/>
        </w:rPr>
        <w:t>;</w:t>
      </w:r>
    </w:p>
    <w:p w:rsidR="006F5961" w:rsidRPr="00FE246C" w:rsidRDefault="006F5961" w:rsidP="006F5961">
      <w:pPr>
        <w:jc w:val="both"/>
        <w:rPr>
          <w:i/>
        </w:rPr>
      </w:pPr>
      <w:r w:rsidRPr="00FE246C">
        <w:rPr>
          <w:i/>
        </w:rPr>
        <w:tab/>
        <w:t>Căn cứ Nghị định số 08/2014/NĐ-CP ngày 27 tháng 01 năm 2014 của Chính phủ quy định chi tiết và hướng dẫn thi hành một số điều của Luật Khoa học và Công nghệ;</w:t>
      </w:r>
    </w:p>
    <w:p w:rsidR="006F5961" w:rsidRPr="00FE246C" w:rsidRDefault="006F5961" w:rsidP="006F5961">
      <w:pPr>
        <w:ind w:firstLine="720"/>
        <w:jc w:val="both"/>
        <w:rPr>
          <w:i/>
          <w:lang w:val="fr-FR"/>
        </w:rPr>
      </w:pPr>
      <w:r w:rsidRPr="00FE246C">
        <w:rPr>
          <w:i/>
          <w:lang w:val="fr-FR"/>
        </w:rPr>
        <w:t>Căn cứ Nghị định số 95/2014/NĐ-CP ngày 17 tháng 10 năm 2014 của Chính phủ quy định về đầu tư và cơ chế tài chính cho hoạt động khoa học và công nghệ;</w:t>
      </w:r>
    </w:p>
    <w:p w:rsidR="001930F4" w:rsidRPr="00FE246C" w:rsidRDefault="001930F4" w:rsidP="006F5961">
      <w:pPr>
        <w:ind w:firstLine="720"/>
        <w:jc w:val="both"/>
        <w:rPr>
          <w:i/>
          <w:lang w:val="it-IT"/>
        </w:rPr>
      </w:pPr>
      <w:r w:rsidRPr="00FE246C">
        <w:rPr>
          <w:i/>
          <w:lang w:val="fr-FR"/>
        </w:rPr>
        <w:t xml:space="preserve">Căn cứ </w:t>
      </w:r>
      <w:r w:rsidRPr="00FE246C">
        <w:rPr>
          <w:i/>
          <w:lang w:val="it-IT"/>
        </w:rPr>
        <w:t xml:space="preserve">Nghị định số 76/2018/NĐ-CP ngày 15 tháng 5 năm 2018 của Chính phủ quy định hướng dẫn chi tiết và hướng dẫn thi hành một số điều của Luật Chuyển giao công nghệ; </w:t>
      </w:r>
    </w:p>
    <w:p w:rsidR="001930F4" w:rsidRPr="00FE246C" w:rsidRDefault="001930F4" w:rsidP="006F5961">
      <w:pPr>
        <w:ind w:firstLine="720"/>
        <w:jc w:val="both"/>
        <w:rPr>
          <w:i/>
          <w:spacing w:val="-4"/>
        </w:rPr>
      </w:pPr>
      <w:r w:rsidRPr="00FE246C">
        <w:rPr>
          <w:i/>
          <w:spacing w:val="-4"/>
          <w:lang w:val="it-IT"/>
        </w:rPr>
        <w:t>Căn cứ Nghị định số 39/2018/NĐ-CP ngày 11 tháng 3 năm 2018 của Chính phủ quy định chi tiết một số  điều của Luật Hỗ trợ doanh nghiệp nhỏ và vừa.</w:t>
      </w:r>
    </w:p>
    <w:p w:rsidR="006F5961" w:rsidRPr="00FE246C" w:rsidRDefault="006F5961" w:rsidP="006F5961">
      <w:pPr>
        <w:ind w:firstLine="720"/>
        <w:jc w:val="both"/>
        <w:rPr>
          <w:b/>
        </w:rPr>
      </w:pPr>
      <w:r w:rsidRPr="00FE246C">
        <w:rPr>
          <w:i/>
          <w:lang w:val="en-GB"/>
        </w:rPr>
        <w:t>Xét Tờ trình số …./TTr-UBND ngày …..tháng…..năm 20</w:t>
      </w:r>
      <w:r w:rsidR="001930F4" w:rsidRPr="00FE246C">
        <w:rPr>
          <w:i/>
          <w:lang w:val="en-GB"/>
        </w:rPr>
        <w:t>20</w:t>
      </w:r>
      <w:r w:rsidRPr="00FE246C">
        <w:rPr>
          <w:i/>
          <w:lang w:val="en-GB"/>
        </w:rPr>
        <w:t xml:space="preserve"> của Uỷ ban nhân dân tỉnh </w:t>
      </w:r>
      <w:r w:rsidRPr="00FE246C">
        <w:rPr>
          <w:i/>
          <w:lang w:val="vi-VN"/>
        </w:rPr>
        <w:t>về việc ban hành</w:t>
      </w:r>
      <w:r w:rsidRPr="00FE246C">
        <w:rPr>
          <w:i/>
          <w:lang w:val="en-GB"/>
        </w:rPr>
        <w:t xml:space="preserve"> Nghị quyết </w:t>
      </w:r>
      <w:r w:rsidRPr="00FE246C">
        <w:rPr>
          <w:i/>
        </w:rPr>
        <w:t>Ban hành quy định một số chính sách khuyến khích các tổ chức kinh tế</w:t>
      </w:r>
      <w:r w:rsidRPr="00FE246C">
        <w:rPr>
          <w:b/>
        </w:rPr>
        <w:t xml:space="preserve"> </w:t>
      </w:r>
      <w:r w:rsidRPr="00FE246C">
        <w:rPr>
          <w:i/>
        </w:rPr>
        <w:t>đầu tư vào hoạt động khoa học và công nghệ trên địa bàn tỉnh Đồng Tháp</w:t>
      </w:r>
      <w:r w:rsidRPr="00FE246C">
        <w:rPr>
          <w:i/>
          <w:lang w:val="en-GB"/>
        </w:rPr>
        <w:t>; Báo cáo thẩm tra số …./BC-HĐND ngày ……tháng…..năm 20</w:t>
      </w:r>
      <w:r w:rsidR="001930F4" w:rsidRPr="00FE246C">
        <w:rPr>
          <w:i/>
          <w:lang w:val="en-GB"/>
        </w:rPr>
        <w:t>20</w:t>
      </w:r>
      <w:r w:rsidRPr="00FE246C">
        <w:rPr>
          <w:i/>
          <w:lang w:val="en-GB"/>
        </w:rPr>
        <w:t xml:space="preserve"> của Ban Kinh tế - Ngân sách Hội đồng nhân dân tỉnh; ý kiến thảo luận của Đại biểu Hội đồng nhân dân </w:t>
      </w:r>
      <w:r w:rsidR="004F7DF0" w:rsidRPr="00FE246C">
        <w:rPr>
          <w:i/>
          <w:lang w:val="vi-VN"/>
        </w:rPr>
        <w:t>T</w:t>
      </w:r>
      <w:r w:rsidR="004F7DF0" w:rsidRPr="00FE246C">
        <w:rPr>
          <w:i/>
          <w:lang w:val="en-GB"/>
        </w:rPr>
        <w:t xml:space="preserve">ỉnh </w:t>
      </w:r>
      <w:r w:rsidRPr="00FE246C">
        <w:rPr>
          <w:i/>
          <w:lang w:val="en-GB"/>
        </w:rPr>
        <w:t>tại kỳ họp.</w:t>
      </w:r>
    </w:p>
    <w:p w:rsidR="006F5961" w:rsidRPr="00FE246C" w:rsidRDefault="006F5961" w:rsidP="006F5961">
      <w:pPr>
        <w:jc w:val="center"/>
        <w:rPr>
          <w:b/>
        </w:rPr>
      </w:pPr>
      <w:r w:rsidRPr="00FE246C">
        <w:rPr>
          <w:b/>
        </w:rPr>
        <w:lastRenderedPageBreak/>
        <w:t>QUYẾT NGHỊ:</w:t>
      </w:r>
    </w:p>
    <w:p w:rsidR="006F5961" w:rsidRPr="00FE246C" w:rsidRDefault="006F5961" w:rsidP="006F5961">
      <w:pPr>
        <w:jc w:val="both"/>
        <w:rPr>
          <w:b/>
        </w:rPr>
      </w:pPr>
      <w:r w:rsidRPr="00FE246C">
        <w:rPr>
          <w:b/>
        </w:rPr>
        <w:tab/>
        <w:t>Điều 1.</w:t>
      </w:r>
      <w:r w:rsidRPr="00FE246C">
        <w:t xml:space="preserve"> Ban hành kèm theo Nghị quyết này Quy định một số chính sách khuyến khích các tổ chức kinh tế đầu tư vào hoạt động khoa học và công nghệ trên địa bàn tỉnh Đồng Tháp.</w:t>
      </w:r>
    </w:p>
    <w:p w:rsidR="006F5961" w:rsidRPr="00FE246C" w:rsidRDefault="006F5961" w:rsidP="006F5961">
      <w:pPr>
        <w:ind w:firstLine="720"/>
        <w:jc w:val="both"/>
      </w:pPr>
      <w:r w:rsidRPr="00FE246C">
        <w:rPr>
          <w:b/>
        </w:rPr>
        <w:t>Điều 2.</w:t>
      </w:r>
      <w:r w:rsidRPr="00FE246C">
        <w:t xml:space="preserve"> Giao Ủy ban nhân dân Tỉnh tổ chức triển khai thực hiện Nghị quyết này.</w:t>
      </w:r>
    </w:p>
    <w:p w:rsidR="006F5961" w:rsidRPr="00FE246C" w:rsidRDefault="006F5961" w:rsidP="006F5961">
      <w:pPr>
        <w:ind w:firstLine="720"/>
        <w:jc w:val="both"/>
      </w:pPr>
      <w:r w:rsidRPr="00FE246C">
        <w:rPr>
          <w:b/>
          <w:lang w:val="en-GB"/>
        </w:rPr>
        <w:t>Điều 3</w:t>
      </w:r>
      <w:r w:rsidRPr="00FE246C">
        <w:rPr>
          <w:lang w:val="en-GB"/>
        </w:rPr>
        <w:t xml:space="preserve">. </w:t>
      </w:r>
      <w:r w:rsidR="001930F4" w:rsidRPr="00FE246C">
        <w:t>Thường trực Hội đồng nhân dân, các Ban của Hội đồng nhân, các Tổ đại biểu Hội đồng nhân dân và các đại biểu Hội đồng nhân dân Tỉnh giám sát việc thực hiện quy định này</w:t>
      </w:r>
      <w:r w:rsidRPr="00FE246C">
        <w:t>.</w:t>
      </w:r>
    </w:p>
    <w:p w:rsidR="006F5961" w:rsidRPr="00FE246C" w:rsidRDefault="006F5961" w:rsidP="006F5961">
      <w:pPr>
        <w:ind w:firstLine="720"/>
        <w:jc w:val="both"/>
        <w:rPr>
          <w:lang w:val="vi-VN"/>
        </w:rPr>
      </w:pPr>
      <w:r w:rsidRPr="00FE246C">
        <w:rPr>
          <w:lang w:val="en-GB"/>
        </w:rPr>
        <w:t xml:space="preserve">Nghị quyết này đã được Hội đồng nhân dân </w:t>
      </w:r>
      <w:r w:rsidR="004F7DF0" w:rsidRPr="00FE246C">
        <w:rPr>
          <w:lang w:val="en-GB"/>
        </w:rPr>
        <w:t xml:space="preserve">Tỉnh </w:t>
      </w:r>
      <w:r w:rsidRPr="00FE246C">
        <w:rPr>
          <w:lang w:val="en-GB"/>
        </w:rPr>
        <w:t>khóa IX, kỳ họp thứ</w:t>
      </w:r>
      <w:r w:rsidRPr="00FE246C">
        <w:rPr>
          <w:lang w:val="vi-VN"/>
        </w:rPr>
        <w:t xml:space="preserve"> </w:t>
      </w:r>
      <w:r w:rsidRPr="00FE246C">
        <w:t xml:space="preserve">…. </w:t>
      </w:r>
      <w:r w:rsidRPr="00FE246C">
        <w:rPr>
          <w:lang w:val="en-GB"/>
        </w:rPr>
        <w:t>thông qua ngày ….tháng….năm 20… và có hiệu lực từ ngày ...../...../20.../.</w:t>
      </w:r>
    </w:p>
    <w:p w:rsidR="006F5961" w:rsidRPr="00FE246C" w:rsidRDefault="006F5961" w:rsidP="006F5961">
      <w:pPr>
        <w:rPr>
          <w:lang w:val="vi-VN"/>
        </w:rPr>
      </w:pPr>
    </w:p>
    <w:tbl>
      <w:tblPr>
        <w:tblW w:w="9244" w:type="dxa"/>
        <w:jc w:val="center"/>
        <w:tblLayout w:type="fixed"/>
        <w:tblLook w:val="0000" w:firstRow="0" w:lastRow="0" w:firstColumn="0" w:lastColumn="0" w:noHBand="0" w:noVBand="0"/>
      </w:tblPr>
      <w:tblGrid>
        <w:gridCol w:w="5155"/>
        <w:gridCol w:w="4089"/>
      </w:tblGrid>
      <w:tr w:rsidR="00FE246C" w:rsidRPr="00FE246C" w:rsidTr="00A40961">
        <w:trPr>
          <w:jc w:val="center"/>
        </w:trPr>
        <w:tc>
          <w:tcPr>
            <w:tcW w:w="5155" w:type="dxa"/>
          </w:tcPr>
          <w:p w:rsidR="006F5961" w:rsidRPr="00FE246C" w:rsidRDefault="006F5961" w:rsidP="006F5961">
            <w:pPr>
              <w:spacing w:before="0" w:line="240" w:lineRule="auto"/>
              <w:rPr>
                <w:b/>
                <w:i/>
                <w:sz w:val="24"/>
                <w:szCs w:val="24"/>
              </w:rPr>
            </w:pPr>
            <w:r w:rsidRPr="00FE246C">
              <w:rPr>
                <w:b/>
                <w:i/>
                <w:sz w:val="24"/>
                <w:szCs w:val="24"/>
              </w:rPr>
              <w:t>Nơi nhận:</w:t>
            </w:r>
          </w:p>
        </w:tc>
        <w:tc>
          <w:tcPr>
            <w:tcW w:w="4089" w:type="dxa"/>
          </w:tcPr>
          <w:p w:rsidR="006F5961" w:rsidRPr="00FE246C" w:rsidRDefault="006F5961" w:rsidP="006F5961">
            <w:pPr>
              <w:spacing w:before="0" w:line="240" w:lineRule="auto"/>
              <w:jc w:val="center"/>
              <w:rPr>
                <w:b/>
              </w:rPr>
            </w:pPr>
            <w:r w:rsidRPr="00FE246C">
              <w:rPr>
                <w:b/>
              </w:rPr>
              <w:t>CHỦ TỊCH</w:t>
            </w:r>
          </w:p>
        </w:tc>
      </w:tr>
      <w:tr w:rsidR="006F5961" w:rsidRPr="00FE246C" w:rsidTr="00A40961">
        <w:trPr>
          <w:jc w:val="center"/>
        </w:trPr>
        <w:tc>
          <w:tcPr>
            <w:tcW w:w="5155" w:type="dxa"/>
          </w:tcPr>
          <w:p w:rsidR="00981331" w:rsidRPr="00FE246C" w:rsidRDefault="006F5961" w:rsidP="006F5961">
            <w:pPr>
              <w:spacing w:before="0" w:line="240" w:lineRule="auto"/>
              <w:rPr>
                <w:sz w:val="22"/>
                <w:szCs w:val="22"/>
              </w:rPr>
            </w:pPr>
            <w:r w:rsidRPr="00FE246C">
              <w:rPr>
                <w:sz w:val="22"/>
                <w:szCs w:val="22"/>
              </w:rPr>
              <w:t xml:space="preserve">- </w:t>
            </w:r>
            <w:r w:rsidR="00981331" w:rsidRPr="00FE246C">
              <w:rPr>
                <w:sz w:val="22"/>
                <w:szCs w:val="22"/>
              </w:rPr>
              <w:t>Như Điều 3;</w:t>
            </w:r>
          </w:p>
          <w:p w:rsidR="006F5961" w:rsidRPr="00FE246C" w:rsidRDefault="00981331" w:rsidP="006F5961">
            <w:pPr>
              <w:spacing w:before="0" w:line="240" w:lineRule="auto"/>
              <w:rPr>
                <w:sz w:val="22"/>
                <w:szCs w:val="22"/>
              </w:rPr>
            </w:pPr>
            <w:r w:rsidRPr="00FE246C">
              <w:rPr>
                <w:sz w:val="22"/>
                <w:szCs w:val="22"/>
              </w:rPr>
              <w:t>- Ủ</w:t>
            </w:r>
            <w:r w:rsidR="006F5961" w:rsidRPr="00FE246C">
              <w:rPr>
                <w:sz w:val="22"/>
                <w:szCs w:val="22"/>
              </w:rPr>
              <w:t>y ban Thường vụ Quốc hội;</w:t>
            </w:r>
          </w:p>
          <w:p w:rsidR="006F5961" w:rsidRPr="00FE246C" w:rsidRDefault="006F5961" w:rsidP="006F5961">
            <w:pPr>
              <w:spacing w:before="0" w:line="240" w:lineRule="auto"/>
              <w:rPr>
                <w:sz w:val="22"/>
                <w:szCs w:val="22"/>
              </w:rPr>
            </w:pPr>
            <w:r w:rsidRPr="00FE246C">
              <w:rPr>
                <w:sz w:val="22"/>
                <w:szCs w:val="22"/>
              </w:rPr>
              <w:t>- Chính phủ;</w:t>
            </w:r>
          </w:p>
          <w:p w:rsidR="001930F4" w:rsidRPr="00FE246C" w:rsidRDefault="001930F4" w:rsidP="006F5961">
            <w:pPr>
              <w:spacing w:before="0" w:line="240" w:lineRule="auto"/>
              <w:rPr>
                <w:sz w:val="22"/>
                <w:szCs w:val="22"/>
              </w:rPr>
            </w:pPr>
            <w:r w:rsidRPr="00FE246C">
              <w:rPr>
                <w:sz w:val="22"/>
                <w:szCs w:val="22"/>
              </w:rPr>
              <w:t>- Bộ Khoa học và Công nghệ;</w:t>
            </w:r>
          </w:p>
          <w:p w:rsidR="006F5961" w:rsidRPr="00FE246C" w:rsidRDefault="006F5961" w:rsidP="006F5961">
            <w:pPr>
              <w:spacing w:before="0" w:line="240" w:lineRule="auto"/>
              <w:rPr>
                <w:sz w:val="22"/>
                <w:szCs w:val="22"/>
              </w:rPr>
            </w:pPr>
            <w:r w:rsidRPr="00FE246C">
              <w:rPr>
                <w:sz w:val="22"/>
                <w:szCs w:val="22"/>
              </w:rPr>
              <w:t>- Cục KTVB (Bộ Tư pháp);</w:t>
            </w:r>
          </w:p>
          <w:p w:rsidR="006F5961" w:rsidRPr="00FE246C" w:rsidRDefault="006F5961" w:rsidP="006F5961">
            <w:pPr>
              <w:spacing w:before="0" w:line="240" w:lineRule="auto"/>
              <w:rPr>
                <w:sz w:val="22"/>
                <w:szCs w:val="22"/>
              </w:rPr>
            </w:pPr>
            <w:r w:rsidRPr="00FE246C">
              <w:rPr>
                <w:sz w:val="22"/>
                <w:szCs w:val="22"/>
              </w:rPr>
              <w:t>-TT/TU, TT/HĐND, UBND, UBMTTQVN Tỉnh;</w:t>
            </w:r>
          </w:p>
          <w:p w:rsidR="006F5961" w:rsidRPr="00FE246C" w:rsidRDefault="006F5961" w:rsidP="006F5961">
            <w:pPr>
              <w:spacing w:before="0" w:line="240" w:lineRule="auto"/>
              <w:rPr>
                <w:sz w:val="22"/>
                <w:szCs w:val="22"/>
              </w:rPr>
            </w:pPr>
            <w:r w:rsidRPr="00FE246C">
              <w:rPr>
                <w:sz w:val="22"/>
                <w:szCs w:val="22"/>
              </w:rPr>
              <w:t>- Đoàn ĐBQH Tỉnh;</w:t>
            </w:r>
          </w:p>
          <w:p w:rsidR="006F5961" w:rsidRPr="00FE246C" w:rsidRDefault="006F5961" w:rsidP="006F5961">
            <w:pPr>
              <w:spacing w:before="0" w:line="240" w:lineRule="auto"/>
              <w:rPr>
                <w:sz w:val="22"/>
                <w:szCs w:val="22"/>
              </w:rPr>
            </w:pPr>
            <w:r w:rsidRPr="00FE246C">
              <w:rPr>
                <w:sz w:val="22"/>
                <w:szCs w:val="22"/>
              </w:rPr>
              <w:t>- Đại biểu HĐND Tỉnh;</w:t>
            </w:r>
          </w:p>
          <w:p w:rsidR="006F5961" w:rsidRPr="00FE246C" w:rsidRDefault="006F5961" w:rsidP="006F5961">
            <w:pPr>
              <w:spacing w:before="0" w:line="240" w:lineRule="auto"/>
              <w:rPr>
                <w:sz w:val="22"/>
                <w:szCs w:val="22"/>
              </w:rPr>
            </w:pPr>
            <w:r w:rsidRPr="00FE246C">
              <w:rPr>
                <w:sz w:val="22"/>
                <w:szCs w:val="22"/>
              </w:rPr>
              <w:t>- Các sở, ban, ngành, đoàn thể Tỉnh;</w:t>
            </w:r>
          </w:p>
          <w:p w:rsidR="006F5961" w:rsidRPr="00FE246C" w:rsidRDefault="006F5961" w:rsidP="006F5961">
            <w:pPr>
              <w:spacing w:before="0" w:line="240" w:lineRule="auto"/>
              <w:rPr>
                <w:sz w:val="22"/>
                <w:szCs w:val="22"/>
              </w:rPr>
            </w:pPr>
            <w:r w:rsidRPr="00FE246C">
              <w:rPr>
                <w:sz w:val="22"/>
                <w:szCs w:val="22"/>
              </w:rPr>
              <w:t>- Văn phòng: HĐND, UBND Tỉnh;</w:t>
            </w:r>
          </w:p>
          <w:p w:rsidR="006F5961" w:rsidRPr="00FE246C" w:rsidRDefault="006F5961" w:rsidP="006F5961">
            <w:pPr>
              <w:spacing w:before="0" w:line="240" w:lineRule="auto"/>
              <w:rPr>
                <w:sz w:val="22"/>
                <w:szCs w:val="22"/>
              </w:rPr>
            </w:pPr>
            <w:r w:rsidRPr="00FE246C">
              <w:rPr>
                <w:sz w:val="22"/>
                <w:szCs w:val="22"/>
              </w:rPr>
              <w:t>- TT/HĐND, UBND huyện, thị xã, thành phố;</w:t>
            </w:r>
          </w:p>
          <w:p w:rsidR="006F5961" w:rsidRPr="00FE246C" w:rsidRDefault="006F5961" w:rsidP="006F5961">
            <w:pPr>
              <w:spacing w:before="0" w:line="240" w:lineRule="auto"/>
              <w:rPr>
                <w:sz w:val="22"/>
                <w:szCs w:val="22"/>
              </w:rPr>
            </w:pPr>
            <w:r w:rsidRPr="00FE246C">
              <w:rPr>
                <w:sz w:val="22"/>
                <w:szCs w:val="22"/>
              </w:rPr>
              <w:t>- Công báo Tỉnh;                     </w:t>
            </w:r>
          </w:p>
          <w:p w:rsidR="006F5961" w:rsidRPr="00FE246C" w:rsidRDefault="006F5961" w:rsidP="006F5961">
            <w:pPr>
              <w:spacing w:before="0" w:line="240" w:lineRule="auto"/>
              <w:rPr>
                <w:sz w:val="22"/>
                <w:szCs w:val="22"/>
                <w:lang w:val="vi-VN"/>
              </w:rPr>
            </w:pPr>
            <w:r w:rsidRPr="00FE246C">
              <w:rPr>
                <w:sz w:val="22"/>
                <w:szCs w:val="22"/>
              </w:rPr>
              <w:t>- Lưu: VT, NC/TH.                </w:t>
            </w:r>
          </w:p>
        </w:tc>
        <w:tc>
          <w:tcPr>
            <w:tcW w:w="4089" w:type="dxa"/>
          </w:tcPr>
          <w:p w:rsidR="006F5961" w:rsidRPr="00FE246C" w:rsidRDefault="006F5961" w:rsidP="006F5961">
            <w:pPr>
              <w:spacing w:before="0" w:line="240" w:lineRule="auto"/>
              <w:rPr>
                <w:b/>
                <w:sz w:val="22"/>
                <w:szCs w:val="22"/>
              </w:rPr>
            </w:pPr>
          </w:p>
        </w:tc>
      </w:tr>
    </w:tbl>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CD1AE2" w:rsidRPr="00FE246C" w:rsidRDefault="00CD1AE2" w:rsidP="006F5961"/>
    <w:p w:rsidR="00CD1AE2" w:rsidRPr="00FE246C" w:rsidRDefault="00CD1AE2" w:rsidP="006F5961"/>
    <w:p w:rsidR="00CD1AE2" w:rsidRPr="00FE246C" w:rsidRDefault="00CD1AE2" w:rsidP="006F5961"/>
    <w:p w:rsidR="00CD1AE2" w:rsidRDefault="00CD1AE2" w:rsidP="006F5961"/>
    <w:p w:rsidR="00FE246C" w:rsidRPr="00FE246C" w:rsidRDefault="00FE246C" w:rsidP="006F5961"/>
    <w:tbl>
      <w:tblPr>
        <w:tblW w:w="9524" w:type="dxa"/>
        <w:jc w:val="center"/>
        <w:tblLook w:val="01E0" w:firstRow="1" w:lastRow="1" w:firstColumn="1" w:lastColumn="1" w:noHBand="0" w:noVBand="0"/>
      </w:tblPr>
      <w:tblGrid>
        <w:gridCol w:w="3348"/>
        <w:gridCol w:w="6176"/>
      </w:tblGrid>
      <w:tr w:rsidR="00FE246C" w:rsidRPr="00FE246C" w:rsidTr="006F5961">
        <w:trPr>
          <w:jc w:val="center"/>
        </w:trPr>
        <w:tc>
          <w:tcPr>
            <w:tcW w:w="3348" w:type="dxa"/>
          </w:tcPr>
          <w:p w:rsidR="00E65CE6" w:rsidRPr="00FE246C" w:rsidRDefault="006F5961" w:rsidP="006F5961">
            <w:pPr>
              <w:jc w:val="center"/>
              <w:rPr>
                <w:b/>
                <w:sz w:val="26"/>
                <w:szCs w:val="26"/>
              </w:rPr>
            </w:pPr>
            <w:r w:rsidRPr="00FE246C">
              <w:rPr>
                <w:b/>
                <w:sz w:val="26"/>
                <w:szCs w:val="26"/>
              </w:rPr>
              <w:lastRenderedPageBreak/>
              <w:t>HỘI ĐỒNG NHÂN DÂN TỈNH ĐỒNG THÁP</w:t>
            </w:r>
          </w:p>
          <w:p w:rsidR="006F5961" w:rsidRPr="00FE246C" w:rsidRDefault="00E65CE6" w:rsidP="006F5961">
            <w:pPr>
              <w:jc w:val="center"/>
              <w:rPr>
                <w:b/>
                <w:sz w:val="26"/>
                <w:szCs w:val="26"/>
              </w:rPr>
            </w:pPr>
            <w:r w:rsidRPr="00FE246C">
              <w:rPr>
                <w:b/>
                <w:sz w:val="26"/>
                <w:szCs w:val="26"/>
              </w:rPr>
              <w:t>----------</w:t>
            </w:r>
            <w:r w:rsidR="006F5961" w:rsidRPr="00FE246C">
              <w:rPr>
                <w:b/>
                <w:sz w:val="26"/>
                <w:szCs w:val="26"/>
              </w:rPr>
              <w:br/>
            </w:r>
          </w:p>
        </w:tc>
        <w:tc>
          <w:tcPr>
            <w:tcW w:w="6176" w:type="dxa"/>
          </w:tcPr>
          <w:p w:rsidR="00E65CE6" w:rsidRPr="00FE246C" w:rsidRDefault="006F5961" w:rsidP="006F5961">
            <w:pPr>
              <w:jc w:val="center"/>
              <w:rPr>
                <w:b/>
                <w:szCs w:val="26"/>
              </w:rPr>
            </w:pPr>
            <w:r w:rsidRPr="00FE246C">
              <w:rPr>
                <w:b/>
                <w:sz w:val="26"/>
                <w:szCs w:val="26"/>
              </w:rPr>
              <w:t>CỘNG HÒA XÃ HỘI CHỦ NGHĨA VIỆT NAM</w:t>
            </w:r>
            <w:r w:rsidRPr="00FE246C">
              <w:rPr>
                <w:b/>
                <w:sz w:val="26"/>
                <w:szCs w:val="26"/>
              </w:rPr>
              <w:br/>
            </w:r>
            <w:r w:rsidRPr="00FE246C">
              <w:rPr>
                <w:b/>
                <w:szCs w:val="26"/>
              </w:rPr>
              <w:t>Độc lập - Tự do - Hạnh phúc</w:t>
            </w:r>
          </w:p>
          <w:p w:rsidR="006F5961" w:rsidRPr="00FE246C" w:rsidRDefault="00E65CE6" w:rsidP="006F5961">
            <w:pPr>
              <w:jc w:val="center"/>
              <w:rPr>
                <w:sz w:val="26"/>
                <w:szCs w:val="26"/>
              </w:rPr>
            </w:pPr>
            <w:r w:rsidRPr="00FE246C">
              <w:rPr>
                <w:b/>
                <w:szCs w:val="26"/>
              </w:rPr>
              <w:t>------------------</w:t>
            </w:r>
            <w:r w:rsidR="006F5961" w:rsidRPr="00FE246C">
              <w:rPr>
                <w:b/>
                <w:szCs w:val="26"/>
              </w:rPr>
              <w:t xml:space="preserve"> </w:t>
            </w:r>
            <w:r w:rsidR="006F5961" w:rsidRPr="00FE246C">
              <w:rPr>
                <w:b/>
                <w:sz w:val="26"/>
                <w:szCs w:val="26"/>
              </w:rPr>
              <w:br/>
            </w:r>
          </w:p>
        </w:tc>
      </w:tr>
    </w:tbl>
    <w:p w:rsidR="006F5961" w:rsidRPr="00FE246C" w:rsidRDefault="006F5961" w:rsidP="00CD1AE2">
      <w:pPr>
        <w:spacing w:before="120" w:after="120" w:line="240" w:lineRule="auto"/>
        <w:jc w:val="center"/>
        <w:rPr>
          <w:b/>
        </w:rPr>
      </w:pPr>
      <w:r w:rsidRPr="00FE246C">
        <w:rPr>
          <w:b/>
          <w:lang w:val="vi-VN"/>
        </w:rPr>
        <w:t>QUY ĐỊNH</w:t>
      </w:r>
      <w:r w:rsidRPr="00FE246C">
        <w:rPr>
          <w:b/>
          <w:lang w:val="vi-VN"/>
        </w:rPr>
        <w:br/>
      </w:r>
      <w:r w:rsidR="00E65CE6" w:rsidRPr="00FE246C">
        <w:rPr>
          <w:b/>
          <w:lang w:val="vi-VN"/>
        </w:rPr>
        <w:t>MỘT SỐ CHÍNH SÁCH KHUYẾN KHÍCH CÁC TỔ CHỨC KINH TẾ ĐẦU TƯ VÀO HOẠT ĐỘNG KHOA HỌC VÀ CÔNG NGHỆ             TRÊN ĐỊA BÀN TỈNH ĐỒNG THÁP</w:t>
      </w:r>
      <w:r w:rsidRPr="00FE246C">
        <w:rPr>
          <w:b/>
          <w:lang w:val="vi-VN"/>
        </w:rPr>
        <w:br/>
      </w:r>
      <w:r w:rsidRPr="00FE246C">
        <w:rPr>
          <w:i/>
        </w:rPr>
        <w:t>(Ban hành kèm theo Nghị quyết số ...../20…/NQ-HĐND</w:t>
      </w:r>
      <w:r w:rsidRPr="00FE246C">
        <w:rPr>
          <w:i/>
        </w:rPr>
        <w:br/>
        <w:t>ngày ... tháng ... năm 20… của HĐND tỉnh Đồng Tháp)</w:t>
      </w:r>
    </w:p>
    <w:p w:rsidR="006F5961" w:rsidRPr="00FE246C" w:rsidRDefault="008965B0" w:rsidP="00CD1AE2">
      <w:pPr>
        <w:spacing w:line="240" w:lineRule="auto"/>
        <w:jc w:val="center"/>
        <w:rPr>
          <w:b/>
          <w:lang w:val="fr-FR"/>
        </w:rPr>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2269490</wp:posOffset>
                </wp:positionH>
                <wp:positionV relativeFrom="paragraph">
                  <wp:posOffset>56514</wp:posOffset>
                </wp:positionV>
                <wp:extent cx="1363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8.7pt;margin-top:4.45pt;width:107.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"/>
            </w:pict>
          </mc:Fallback>
        </mc:AlternateContent>
      </w:r>
    </w:p>
    <w:p w:rsidR="006F5961" w:rsidRPr="00FE246C" w:rsidRDefault="006F5961" w:rsidP="00CD1AE2">
      <w:pPr>
        <w:spacing w:line="240" w:lineRule="auto"/>
        <w:jc w:val="center"/>
        <w:rPr>
          <w:b/>
          <w:lang w:val="fr-FR"/>
        </w:rPr>
      </w:pPr>
      <w:r w:rsidRPr="00FE246C">
        <w:rPr>
          <w:b/>
          <w:lang w:val="fr-FR"/>
        </w:rPr>
        <w:t>Chương I</w:t>
      </w:r>
    </w:p>
    <w:p w:rsidR="006F5961" w:rsidRPr="00FE246C" w:rsidRDefault="006F5961" w:rsidP="00CD1AE2">
      <w:pPr>
        <w:spacing w:line="240" w:lineRule="auto"/>
        <w:jc w:val="center"/>
        <w:rPr>
          <w:b/>
          <w:lang w:val="fr-FR"/>
        </w:rPr>
      </w:pPr>
      <w:r w:rsidRPr="00FE246C">
        <w:rPr>
          <w:b/>
          <w:lang w:val="fr-FR"/>
        </w:rPr>
        <w:t>QUY ĐỊNH CHUNG</w:t>
      </w:r>
    </w:p>
    <w:p w:rsidR="006F5961" w:rsidRPr="00FE246C" w:rsidRDefault="006F5961" w:rsidP="00E65CE6">
      <w:pPr>
        <w:spacing w:before="120" w:after="120"/>
        <w:ind w:firstLine="720"/>
        <w:rPr>
          <w:b/>
        </w:rPr>
      </w:pPr>
      <w:r w:rsidRPr="00FE246C">
        <w:rPr>
          <w:b/>
          <w:lang w:val="fr-FR"/>
        </w:rPr>
        <w:t xml:space="preserve">Điều </w:t>
      </w:r>
      <w:r w:rsidRPr="00FE246C">
        <w:rPr>
          <w:b/>
        </w:rPr>
        <w:t>1. Phạm vi điều chỉnh</w:t>
      </w:r>
    </w:p>
    <w:p w:rsidR="006F5961" w:rsidRPr="00FE246C" w:rsidRDefault="006F5961" w:rsidP="00E65CE6">
      <w:pPr>
        <w:spacing w:before="120" w:after="120"/>
        <w:ind w:firstLine="720"/>
        <w:jc w:val="both"/>
        <w:rPr>
          <w:lang w:val="fr-FR"/>
        </w:rPr>
      </w:pPr>
      <w:r w:rsidRPr="00FE246C">
        <w:rPr>
          <w:lang w:val="fr-FR"/>
        </w:rPr>
        <w:t xml:space="preserve">Quy định này quy định một số </w:t>
      </w:r>
      <w:r w:rsidRPr="00FE246C">
        <w:t xml:space="preserve">chính sách khuyến khích </w:t>
      </w:r>
      <w:r w:rsidR="00192EEF" w:rsidRPr="00FE246C">
        <w:t>các tổ chức kinh tế</w:t>
      </w:r>
      <w:r w:rsidRPr="00FE246C">
        <w:t xml:space="preserve"> đầu tư vào hoạt động khoa học và công nghệ</w:t>
      </w:r>
      <w:r w:rsidRPr="00FE246C">
        <w:rPr>
          <w:lang w:val="fr-FR"/>
        </w:rPr>
        <w:t xml:space="preserve"> nhằm phát triển sản xuất, nâng cao năng lực sản xuất, kinh doanh, khả năng cạnh tranh của các cơ sở sản xuất, kinh doanh hoạt động trên địa bàn tỉnh Đồng Tháp.</w:t>
      </w:r>
    </w:p>
    <w:p w:rsidR="006F5961" w:rsidRPr="00FE246C" w:rsidRDefault="006F5961" w:rsidP="00E65CE6">
      <w:pPr>
        <w:spacing w:before="120" w:after="120"/>
        <w:ind w:firstLine="720"/>
        <w:jc w:val="both"/>
        <w:rPr>
          <w:lang w:val="fr-FR"/>
        </w:rPr>
      </w:pPr>
      <w:r w:rsidRPr="00FE246C">
        <w:rPr>
          <w:iCs/>
          <w:lang w:val="fr-FR"/>
        </w:rPr>
        <w:t xml:space="preserve">Các hoạt động khoa học và công nghệ khuyến khích thực hiện theo </w:t>
      </w:r>
      <w:r w:rsidRPr="00FE246C">
        <w:rPr>
          <w:lang w:val="fr-FR"/>
        </w:rPr>
        <w:t xml:space="preserve">quy định này bao gồm: hoạt động liên quan đến sở hữu trí tuệ; đổi mới, chuyển giao công nghệ; tiêu chuẩn, đo lường, chất lượng. </w:t>
      </w:r>
    </w:p>
    <w:p w:rsidR="006F5961" w:rsidRPr="00FE246C" w:rsidRDefault="006F5961" w:rsidP="00E65CE6">
      <w:pPr>
        <w:spacing w:before="120" w:after="120"/>
        <w:ind w:firstLine="720"/>
        <w:rPr>
          <w:b/>
        </w:rPr>
      </w:pPr>
      <w:r w:rsidRPr="00FE246C">
        <w:rPr>
          <w:b/>
        </w:rPr>
        <w:t>Điều 2. Đối tượng áp dụng</w:t>
      </w:r>
    </w:p>
    <w:p w:rsidR="006F5961" w:rsidRPr="00FE246C" w:rsidRDefault="00192EEF" w:rsidP="00E65CE6">
      <w:pPr>
        <w:spacing w:before="120" w:after="120"/>
        <w:ind w:firstLine="720"/>
      </w:pPr>
      <w:r w:rsidRPr="00FE246C">
        <w:t>Các</w:t>
      </w:r>
      <w:r w:rsidR="006F5961" w:rsidRPr="00FE246C">
        <w:t xml:space="preserve"> tổ chức kinh tế có đăng ký kinh doanh, đầu tư theo quy định của pháp luật thuộc các loại hình như sau:</w:t>
      </w:r>
    </w:p>
    <w:p w:rsidR="006F5961" w:rsidRPr="00FE246C" w:rsidRDefault="006F5961" w:rsidP="00E65CE6">
      <w:pPr>
        <w:spacing w:before="120" w:after="120"/>
        <w:ind w:firstLine="720"/>
      </w:pPr>
      <w:r w:rsidRPr="00FE246C">
        <w:t>a) Doanh nghiệp tư nhân;</w:t>
      </w:r>
    </w:p>
    <w:p w:rsidR="006F5961" w:rsidRPr="00FE246C" w:rsidRDefault="006F5961" w:rsidP="00E65CE6">
      <w:pPr>
        <w:spacing w:before="120" w:after="120"/>
        <w:ind w:firstLine="720"/>
      </w:pPr>
      <w:r w:rsidRPr="00FE246C">
        <w:t>b) Công ty trách nhiệm hữu hạn (Công ty TNHH);</w:t>
      </w:r>
    </w:p>
    <w:p w:rsidR="006F5961" w:rsidRPr="00FE246C" w:rsidRDefault="006F5961" w:rsidP="00E65CE6">
      <w:pPr>
        <w:spacing w:before="120" w:after="120"/>
        <w:ind w:firstLine="720"/>
      </w:pPr>
      <w:r w:rsidRPr="00FE246C">
        <w:t>c) Công ty cổ phần;</w:t>
      </w:r>
    </w:p>
    <w:p w:rsidR="006F5961" w:rsidRPr="00FE246C" w:rsidRDefault="006F5961" w:rsidP="00E65CE6">
      <w:pPr>
        <w:spacing w:before="120" w:after="120"/>
        <w:ind w:firstLine="720"/>
      </w:pPr>
      <w:r w:rsidRPr="00FE246C">
        <w:t>d) Công ty hợp danh;</w:t>
      </w:r>
    </w:p>
    <w:p w:rsidR="006F5961" w:rsidRPr="00FE246C" w:rsidRDefault="006F5961" w:rsidP="00E65CE6">
      <w:pPr>
        <w:spacing w:before="120" w:after="120"/>
        <w:ind w:firstLine="720"/>
      </w:pPr>
      <w:r w:rsidRPr="00FE246C">
        <w:t>e) Hợp tác xã, Liên hiệp hợp tác xã;</w:t>
      </w:r>
    </w:p>
    <w:p w:rsidR="006F5961" w:rsidRPr="00FE246C" w:rsidRDefault="006F5961" w:rsidP="00E65CE6">
      <w:pPr>
        <w:spacing w:before="120" w:after="120"/>
        <w:ind w:firstLine="720"/>
      </w:pPr>
      <w:r w:rsidRPr="00FE246C">
        <w:t>g) Hộ kinh doanh cá thể; Tổ hợp tác;</w:t>
      </w:r>
    </w:p>
    <w:p w:rsidR="000F1D2A" w:rsidRPr="00FE246C" w:rsidRDefault="000F1D2A" w:rsidP="00E65CE6">
      <w:pPr>
        <w:spacing w:before="120" w:after="120"/>
        <w:ind w:firstLine="720"/>
      </w:pPr>
      <w:r w:rsidRPr="00FE246C">
        <w:t>h) Doanh nghiệp khoa học và công nghệ;</w:t>
      </w:r>
    </w:p>
    <w:p w:rsidR="006F5961" w:rsidRPr="00FE246C" w:rsidRDefault="006F5961" w:rsidP="00E65CE6">
      <w:pPr>
        <w:spacing w:before="120" w:after="120"/>
        <w:ind w:firstLine="720"/>
      </w:pPr>
      <w:r w:rsidRPr="00FE246C">
        <w:t>Các tổ chức kinh tế nêu trên sau đây gọi tắt là “cơ sở”.</w:t>
      </w:r>
    </w:p>
    <w:p w:rsidR="00FE246C" w:rsidRPr="00FE246C" w:rsidRDefault="00FE246C" w:rsidP="00E65CE6">
      <w:pPr>
        <w:spacing w:before="120" w:after="120"/>
        <w:jc w:val="center"/>
        <w:rPr>
          <w:b/>
          <w:lang w:val="fr-FR"/>
        </w:rPr>
      </w:pPr>
    </w:p>
    <w:p w:rsidR="00FE246C" w:rsidRPr="00FE246C" w:rsidRDefault="00FE246C" w:rsidP="00E65CE6">
      <w:pPr>
        <w:spacing w:before="120" w:after="120"/>
        <w:jc w:val="center"/>
        <w:rPr>
          <w:b/>
          <w:lang w:val="fr-FR"/>
        </w:rPr>
      </w:pPr>
    </w:p>
    <w:p w:rsidR="006F5961" w:rsidRPr="00FE246C" w:rsidRDefault="006F5961" w:rsidP="00E65CE6">
      <w:pPr>
        <w:spacing w:before="120" w:after="120"/>
        <w:jc w:val="center"/>
        <w:rPr>
          <w:b/>
          <w:lang w:val="fr-FR"/>
        </w:rPr>
      </w:pPr>
      <w:r w:rsidRPr="00FE246C">
        <w:rPr>
          <w:b/>
          <w:lang w:val="fr-FR"/>
        </w:rPr>
        <w:t>Chương II</w:t>
      </w:r>
    </w:p>
    <w:p w:rsidR="006F5961" w:rsidRPr="00FE246C" w:rsidRDefault="006F5961" w:rsidP="00E65CE6">
      <w:pPr>
        <w:spacing w:before="120" w:after="120"/>
        <w:jc w:val="center"/>
        <w:rPr>
          <w:b/>
          <w:lang w:val="fr-FR"/>
        </w:rPr>
      </w:pPr>
      <w:r w:rsidRPr="00FE246C">
        <w:rPr>
          <w:b/>
          <w:lang w:val="fr-FR"/>
        </w:rPr>
        <w:t>NỘI DUNG VÀ ĐỊNH MỨC HỖ TRỢ</w:t>
      </w:r>
    </w:p>
    <w:p w:rsidR="006F5961" w:rsidRPr="00FE246C" w:rsidRDefault="006F5961" w:rsidP="00E65CE6">
      <w:pPr>
        <w:spacing w:before="120" w:after="120"/>
        <w:ind w:firstLine="720"/>
        <w:rPr>
          <w:b/>
          <w:lang w:val="fr-FR"/>
        </w:rPr>
      </w:pPr>
      <w:r w:rsidRPr="00FE246C">
        <w:rPr>
          <w:b/>
          <w:lang w:val="fr-FR"/>
        </w:rPr>
        <w:t>Điều 3. Hỗ trợ phát triển hoạt động sở hữu trí tuệ</w:t>
      </w:r>
    </w:p>
    <w:p w:rsidR="006F5961" w:rsidRPr="00FE246C" w:rsidRDefault="006F5961" w:rsidP="00E65CE6">
      <w:pPr>
        <w:spacing w:before="120" w:after="120"/>
        <w:jc w:val="both"/>
        <w:rPr>
          <w:lang w:val="fr-FR"/>
        </w:rPr>
      </w:pPr>
      <w:r w:rsidRPr="00FE246C">
        <w:rPr>
          <w:b/>
          <w:lang w:val="fr-FR"/>
        </w:rPr>
        <w:tab/>
      </w:r>
      <w:r w:rsidR="008018BB" w:rsidRPr="00FE246C">
        <w:t>1.</w:t>
      </w:r>
      <w:r w:rsidRPr="00FE246C">
        <w:t xml:space="preserve"> </w:t>
      </w:r>
      <w:r w:rsidRPr="00FE246C">
        <w:rPr>
          <w:lang w:val="fr-FR"/>
        </w:rPr>
        <w:t xml:space="preserve">Hỗ trợ chi phí thiết kế nhãn hiệu, </w:t>
      </w:r>
      <w:r w:rsidR="000F1D2A" w:rsidRPr="00FE246C">
        <w:rPr>
          <w:lang w:val="fr-FR"/>
        </w:rPr>
        <w:t>bao bì.</w:t>
      </w:r>
    </w:p>
    <w:p w:rsidR="00FD7EF4" w:rsidRPr="00FE246C" w:rsidRDefault="005D2DDD" w:rsidP="00E65CE6">
      <w:pPr>
        <w:spacing w:before="120" w:after="120"/>
        <w:ind w:firstLine="720"/>
        <w:jc w:val="both"/>
        <w:rPr>
          <w:lang w:val="fr-FR"/>
        </w:rPr>
      </w:pPr>
      <w:r w:rsidRPr="00FE246C">
        <w:rPr>
          <w:lang w:val="fr-FR"/>
        </w:rPr>
        <w:t>a)</w:t>
      </w:r>
      <w:r w:rsidR="000F1D2A" w:rsidRPr="00FE246C">
        <w:rPr>
          <w:lang w:val="fr-FR"/>
        </w:rPr>
        <w:t xml:space="preserve"> Hỗ trợ </w:t>
      </w:r>
      <w:r w:rsidRPr="00FE246C">
        <w:rPr>
          <w:lang w:val="fr-FR"/>
        </w:rPr>
        <w:t xml:space="preserve">trên tổng </w:t>
      </w:r>
      <w:r w:rsidR="000F1D2A" w:rsidRPr="00FE246C">
        <w:rPr>
          <w:lang w:val="fr-FR"/>
        </w:rPr>
        <w:t>chi phí thiết kế nhãn hiệu</w:t>
      </w:r>
      <w:r w:rsidR="000F1D2A" w:rsidRPr="00FE246C">
        <w:rPr>
          <w:spacing w:val="-4"/>
          <w:lang w:val="fr-FR"/>
        </w:rPr>
        <w:t xml:space="preserve"> thông thường</w:t>
      </w:r>
      <w:r w:rsidR="00122704" w:rsidRPr="00122704">
        <w:rPr>
          <w:lang w:val="fr-FR"/>
        </w:rPr>
        <w:t xml:space="preserve"> </w:t>
      </w:r>
      <w:r w:rsidR="00122704">
        <w:rPr>
          <w:lang w:val="fr-FR"/>
        </w:rPr>
        <w:t>(h</w:t>
      </w:r>
      <w:r w:rsidR="00122704" w:rsidRPr="00FE246C">
        <w:rPr>
          <w:lang w:val="fr-FR"/>
        </w:rPr>
        <w:t xml:space="preserve">ỗ trợ </w:t>
      </w:r>
      <w:r w:rsidR="00122704">
        <w:rPr>
          <w:lang w:val="fr-FR"/>
        </w:rPr>
        <w:t xml:space="preserve">tối đa </w:t>
      </w:r>
      <w:r w:rsidR="00122704" w:rsidRPr="00FE246C">
        <w:rPr>
          <w:lang w:val="fr-FR"/>
        </w:rPr>
        <w:t>0</w:t>
      </w:r>
      <w:r w:rsidR="00122704">
        <w:rPr>
          <w:lang w:val="fr-FR"/>
        </w:rPr>
        <w:t>5</w:t>
      </w:r>
      <w:r w:rsidR="00122704" w:rsidRPr="00FE246C">
        <w:rPr>
          <w:lang w:val="fr-FR"/>
        </w:rPr>
        <w:t xml:space="preserve"> nhãn hiệu</w:t>
      </w:r>
      <w:r w:rsidR="00122704">
        <w:rPr>
          <w:lang w:val="fr-FR"/>
        </w:rPr>
        <w:t>/ cơ sở)</w:t>
      </w:r>
      <w:r w:rsidR="000F1D2A" w:rsidRPr="00FE246C">
        <w:rPr>
          <w:spacing w:val="-4"/>
          <w:lang w:val="fr-FR"/>
        </w:rPr>
        <w:t>: không quá 05 triệu đồng/ nhãn hiệu;</w:t>
      </w:r>
      <w:r w:rsidR="000F1D2A" w:rsidRPr="00FE246C">
        <w:rPr>
          <w:lang w:val="fr-FR"/>
        </w:rPr>
        <w:t xml:space="preserve"> </w:t>
      </w:r>
    </w:p>
    <w:p w:rsidR="000F1D2A" w:rsidRPr="00FE246C" w:rsidRDefault="00FD7EF4" w:rsidP="00E65CE6">
      <w:pPr>
        <w:spacing w:before="120" w:after="120"/>
        <w:ind w:firstLine="720"/>
        <w:jc w:val="both"/>
        <w:rPr>
          <w:lang w:val="fr-FR"/>
        </w:rPr>
      </w:pPr>
      <w:r w:rsidRPr="00FE246C">
        <w:rPr>
          <w:lang w:val="fr-FR"/>
        </w:rPr>
        <w:t>Hỗ trợ trên tổng chi phí thiết kế n</w:t>
      </w:r>
      <w:r w:rsidR="005D2DDD" w:rsidRPr="00FE246C">
        <w:rPr>
          <w:lang w:val="fr-FR"/>
        </w:rPr>
        <w:t xml:space="preserve">hãn </w:t>
      </w:r>
      <w:r w:rsidR="000F1D2A" w:rsidRPr="00FE246C">
        <w:rPr>
          <w:lang w:val="fr-FR"/>
        </w:rPr>
        <w:t>hiệu tập thể/ chứng nhận</w:t>
      </w:r>
      <w:r w:rsidR="00122704" w:rsidRPr="00122704">
        <w:rPr>
          <w:lang w:val="fr-FR"/>
        </w:rPr>
        <w:t xml:space="preserve"> </w:t>
      </w:r>
      <w:r w:rsidR="00122704">
        <w:rPr>
          <w:lang w:val="fr-FR"/>
        </w:rPr>
        <w:t>(h</w:t>
      </w:r>
      <w:r w:rsidR="00122704" w:rsidRPr="00FE246C">
        <w:rPr>
          <w:lang w:val="fr-FR"/>
        </w:rPr>
        <w:t xml:space="preserve">ỗ trợ </w:t>
      </w:r>
      <w:r w:rsidR="00122704">
        <w:rPr>
          <w:lang w:val="fr-FR"/>
        </w:rPr>
        <w:t xml:space="preserve">tối đa </w:t>
      </w:r>
      <w:r w:rsidR="00122704" w:rsidRPr="00FE246C">
        <w:rPr>
          <w:lang w:val="fr-FR"/>
        </w:rPr>
        <w:t>03 nhãn hiệu</w:t>
      </w:r>
      <w:r w:rsidR="00122704">
        <w:rPr>
          <w:lang w:val="fr-FR"/>
        </w:rPr>
        <w:t>/ cơ sở)</w:t>
      </w:r>
      <w:r w:rsidR="000F1D2A" w:rsidRPr="00FE246C">
        <w:rPr>
          <w:lang w:val="fr-FR"/>
        </w:rPr>
        <w:t>: không quá 10 triệu đồng/ nhãn hiệ</w:t>
      </w:r>
      <w:r w:rsidRPr="00FE246C">
        <w:rPr>
          <w:lang w:val="fr-FR"/>
        </w:rPr>
        <w:t>u.</w:t>
      </w:r>
    </w:p>
    <w:p w:rsidR="000F1D2A" w:rsidRPr="00FE246C" w:rsidRDefault="005D2DDD" w:rsidP="00E65CE6">
      <w:pPr>
        <w:spacing w:before="120" w:after="120"/>
        <w:ind w:firstLine="720"/>
        <w:jc w:val="both"/>
        <w:rPr>
          <w:szCs w:val="20"/>
        </w:rPr>
      </w:pPr>
      <w:r w:rsidRPr="00FE246C">
        <w:rPr>
          <w:lang w:val="fr-FR"/>
        </w:rPr>
        <w:t xml:space="preserve">b) Hỗ trợ </w:t>
      </w:r>
      <w:r w:rsidR="00FD7EF4" w:rsidRPr="00FE246C">
        <w:rPr>
          <w:lang w:val="fr-FR"/>
        </w:rPr>
        <w:t xml:space="preserve">trên tổng </w:t>
      </w:r>
      <w:r w:rsidRPr="00FE246C">
        <w:rPr>
          <w:lang w:val="fr-FR"/>
        </w:rPr>
        <w:t>chi phí thiết kế bao bì</w:t>
      </w:r>
      <w:r w:rsidRPr="00FE246C">
        <w:rPr>
          <w:szCs w:val="20"/>
        </w:rPr>
        <w:t xml:space="preserve">: </w:t>
      </w:r>
      <w:r w:rsidR="000F1D2A" w:rsidRPr="00FE246C">
        <w:rPr>
          <w:spacing w:val="-4"/>
          <w:szCs w:val="20"/>
        </w:rPr>
        <w:t>không quá 10 triệu đồng/ bao bì.</w:t>
      </w:r>
    </w:p>
    <w:p w:rsidR="006F5961" w:rsidRPr="00FE246C" w:rsidRDefault="000F1D2A" w:rsidP="00E65CE6">
      <w:pPr>
        <w:spacing w:before="120" w:after="120"/>
        <w:jc w:val="both"/>
        <w:rPr>
          <w:spacing w:val="-2"/>
          <w:lang w:val="fr-FR"/>
        </w:rPr>
      </w:pPr>
      <w:r w:rsidRPr="00FE246C">
        <w:rPr>
          <w:spacing w:val="-4"/>
          <w:szCs w:val="20"/>
        </w:rPr>
        <w:tab/>
      </w:r>
      <w:r w:rsidR="008018BB" w:rsidRPr="00FE246C">
        <w:rPr>
          <w:spacing w:val="-2"/>
          <w:lang w:val="fr-FR"/>
        </w:rPr>
        <w:t>2.</w:t>
      </w:r>
      <w:r w:rsidR="006F5961" w:rsidRPr="00FE246C">
        <w:rPr>
          <w:spacing w:val="-2"/>
          <w:lang w:val="fr-FR"/>
        </w:rPr>
        <w:t xml:space="preserve"> Hỗ trợ chi phí đăng ký xác lập quyền sở hữu công nghiệp, bao gồm: sáng chế/giải pháp hữu ích, nhãn hiệu thông thường, nhãn hiệu tập thể, nhãn hiệu chứng nhận, kiểu dáng công nghiệp.</w:t>
      </w:r>
    </w:p>
    <w:p w:rsidR="00FD7EF4" w:rsidRPr="00FE246C" w:rsidRDefault="00FD7EF4" w:rsidP="00E65CE6">
      <w:pPr>
        <w:spacing w:before="120" w:after="120"/>
        <w:ind w:firstLine="720"/>
        <w:jc w:val="both"/>
        <w:rPr>
          <w:lang w:val="fr-FR"/>
        </w:rPr>
      </w:pPr>
      <w:r w:rsidRPr="00FE246C">
        <w:rPr>
          <w:lang w:val="fr-FR"/>
        </w:rPr>
        <w:t xml:space="preserve">a) Đăng ký </w:t>
      </w:r>
      <w:r w:rsidR="00D5771E">
        <w:rPr>
          <w:lang w:val="fr-FR"/>
        </w:rPr>
        <w:t xml:space="preserve">xác lập quyền sở hữu công nghiệp </w:t>
      </w:r>
      <w:r w:rsidRPr="00FE246C">
        <w:rPr>
          <w:lang w:val="fr-FR"/>
        </w:rPr>
        <w:t>trong nước (Hỗ trợ tối đa 05 văn bằng/ cơ sở)</w:t>
      </w:r>
    </w:p>
    <w:p w:rsidR="00FD7EF4" w:rsidRPr="00FE246C" w:rsidRDefault="00FD7EF4" w:rsidP="00E65CE6">
      <w:pPr>
        <w:spacing w:before="120" w:after="120"/>
        <w:jc w:val="both"/>
        <w:rPr>
          <w:lang w:val="fr-FR"/>
        </w:rPr>
      </w:pPr>
      <w:r w:rsidRPr="00FE246C">
        <w:rPr>
          <w:lang w:val="fr-FR"/>
        </w:rPr>
        <w:t xml:space="preserve">         </w:t>
      </w:r>
      <w:r w:rsidRPr="00FE246C">
        <w:rPr>
          <w:lang w:val="fr-FR"/>
        </w:rPr>
        <w:tab/>
        <w:t>Hỗ trợ trên tổng chi phí nhưng không quá: 20 triệu đồng/sáng chế; 15 triệu đồng/giải pháp hữu ích; 05 triệu đồng/ nhãn hiệu thông thường; 20 triệu đồng/ nhãn hiệu chứng nhận hoặc tập thể; 10 triệu đồng/ kiểu dáng công nghiệp;</w:t>
      </w:r>
    </w:p>
    <w:p w:rsidR="00FD7EF4" w:rsidRPr="00FE246C" w:rsidRDefault="00FD7EF4" w:rsidP="00E65CE6">
      <w:pPr>
        <w:spacing w:before="120" w:after="120"/>
        <w:jc w:val="both"/>
        <w:rPr>
          <w:lang w:val="fr-FR"/>
        </w:rPr>
      </w:pPr>
      <w:r w:rsidRPr="00FE246C">
        <w:rPr>
          <w:lang w:val="fr-FR"/>
        </w:rPr>
        <w:t xml:space="preserve">          </w:t>
      </w:r>
      <w:r w:rsidRPr="00FE246C">
        <w:rPr>
          <w:lang w:val="fr-FR"/>
        </w:rPr>
        <w:tab/>
        <w:t>b) Đăng ký bảo hộ ngoài nước (Hỗ trợ tối đa 03 văn bằng/ cơ sở): không quá 20 triệu đồng/ đối tượng sở hữu công nghiệp.</w:t>
      </w:r>
    </w:p>
    <w:p w:rsidR="006F5961" w:rsidRPr="00FE246C" w:rsidRDefault="008018BB" w:rsidP="00E65CE6">
      <w:pPr>
        <w:spacing w:before="120" w:after="120" w:line="240" w:lineRule="auto"/>
        <w:ind w:firstLine="720"/>
        <w:jc w:val="both"/>
        <w:rPr>
          <w:lang w:val="fr-FR"/>
        </w:rPr>
      </w:pPr>
      <w:r w:rsidRPr="00FE246C">
        <w:rPr>
          <w:lang w:val="fr-FR"/>
        </w:rPr>
        <w:t>3.</w:t>
      </w:r>
      <w:r w:rsidR="006F5961" w:rsidRPr="00FE246C">
        <w:rPr>
          <w:lang w:val="fr-FR"/>
        </w:rPr>
        <w:t xml:space="preserve"> Hỗ trợ chi phí in ấn bao bì, nhãn hàng hóa</w:t>
      </w:r>
      <w:r w:rsidR="005D2DDD" w:rsidRPr="00FE246C">
        <w:rPr>
          <w:lang w:val="fr-FR"/>
        </w:rPr>
        <w:t>:</w:t>
      </w:r>
    </w:p>
    <w:p w:rsidR="000F1D2A" w:rsidRPr="00FE246C" w:rsidRDefault="005D2DDD" w:rsidP="00E65CE6">
      <w:pPr>
        <w:spacing w:before="120" w:after="120"/>
        <w:ind w:firstLine="720"/>
        <w:jc w:val="both"/>
        <w:rPr>
          <w:szCs w:val="20"/>
        </w:rPr>
      </w:pPr>
      <w:r w:rsidRPr="00FE246C">
        <w:rPr>
          <w:szCs w:val="20"/>
        </w:rPr>
        <w:t>a)</w:t>
      </w:r>
      <w:r w:rsidR="000F1D2A" w:rsidRPr="00FE246C">
        <w:rPr>
          <w:szCs w:val="20"/>
        </w:rPr>
        <w:t xml:space="preserve"> </w:t>
      </w:r>
      <w:r w:rsidRPr="00FE246C">
        <w:rPr>
          <w:szCs w:val="20"/>
        </w:rPr>
        <w:t xml:space="preserve">Hỗ </w:t>
      </w:r>
      <w:r w:rsidR="000F1D2A" w:rsidRPr="00FE246C">
        <w:rPr>
          <w:szCs w:val="20"/>
        </w:rPr>
        <w:t xml:space="preserve">trợ </w:t>
      </w:r>
      <w:r w:rsidRPr="00FE246C">
        <w:rPr>
          <w:szCs w:val="20"/>
        </w:rPr>
        <w:t>trên tổng chi phí</w:t>
      </w:r>
      <w:r w:rsidR="000F1D2A" w:rsidRPr="00FE246C">
        <w:rPr>
          <w:szCs w:val="20"/>
        </w:rPr>
        <w:t xml:space="preserve"> in ấn bao bì</w:t>
      </w:r>
      <w:r w:rsidR="00D5771E" w:rsidRPr="00D5771E">
        <w:rPr>
          <w:szCs w:val="20"/>
        </w:rPr>
        <w:t xml:space="preserve"> </w:t>
      </w:r>
      <w:r w:rsidR="00D5771E">
        <w:rPr>
          <w:szCs w:val="20"/>
        </w:rPr>
        <w:t>(</w:t>
      </w:r>
      <w:r w:rsidR="00D5771E" w:rsidRPr="00FE246C">
        <w:rPr>
          <w:szCs w:val="20"/>
        </w:rPr>
        <w:t>Hỗ trợ tối đa 03 bao bì</w:t>
      </w:r>
      <w:r w:rsidR="00D5771E">
        <w:rPr>
          <w:szCs w:val="20"/>
        </w:rPr>
        <w:t>/ cơ sở)</w:t>
      </w:r>
      <w:r w:rsidR="000F1D2A" w:rsidRPr="00FE246C">
        <w:rPr>
          <w:szCs w:val="20"/>
        </w:rPr>
        <w:t>: không quá 15 triệu đồng/ bao bì.</w:t>
      </w:r>
      <w:r w:rsidRPr="00FE246C">
        <w:rPr>
          <w:szCs w:val="20"/>
        </w:rPr>
        <w:t>.</w:t>
      </w:r>
    </w:p>
    <w:p w:rsidR="000F1D2A" w:rsidRPr="00FE246C" w:rsidRDefault="005D2DDD" w:rsidP="00E65CE6">
      <w:pPr>
        <w:spacing w:before="120" w:after="120"/>
        <w:ind w:firstLine="720"/>
        <w:jc w:val="both"/>
        <w:rPr>
          <w:szCs w:val="20"/>
        </w:rPr>
      </w:pPr>
      <w:r w:rsidRPr="00FE246C">
        <w:rPr>
          <w:szCs w:val="20"/>
        </w:rPr>
        <w:t>b)</w:t>
      </w:r>
      <w:r w:rsidR="000F1D2A" w:rsidRPr="00FE246C">
        <w:rPr>
          <w:szCs w:val="20"/>
        </w:rPr>
        <w:t xml:space="preserve"> </w:t>
      </w:r>
      <w:r w:rsidRPr="00FE246C">
        <w:rPr>
          <w:szCs w:val="20"/>
        </w:rPr>
        <w:t xml:space="preserve">Hỗ </w:t>
      </w:r>
      <w:r w:rsidR="000F1D2A" w:rsidRPr="00FE246C">
        <w:rPr>
          <w:szCs w:val="20"/>
        </w:rPr>
        <w:t xml:space="preserve">trợ </w:t>
      </w:r>
      <w:r w:rsidRPr="00FE246C">
        <w:rPr>
          <w:szCs w:val="20"/>
        </w:rPr>
        <w:t xml:space="preserve">trên tổng chi phí </w:t>
      </w:r>
      <w:r w:rsidR="00122704">
        <w:rPr>
          <w:szCs w:val="20"/>
        </w:rPr>
        <w:t xml:space="preserve">in ấn </w:t>
      </w:r>
      <w:r w:rsidR="000F1D2A" w:rsidRPr="00FE246C">
        <w:rPr>
          <w:szCs w:val="20"/>
        </w:rPr>
        <w:t>nhãn hàng hóa</w:t>
      </w:r>
      <w:r w:rsidR="00D5771E" w:rsidRPr="00D5771E">
        <w:rPr>
          <w:szCs w:val="20"/>
        </w:rPr>
        <w:t xml:space="preserve"> </w:t>
      </w:r>
      <w:r w:rsidR="00D5771E">
        <w:rPr>
          <w:szCs w:val="20"/>
        </w:rPr>
        <w:t>(</w:t>
      </w:r>
      <w:r w:rsidR="00D5771E" w:rsidRPr="00FE246C">
        <w:rPr>
          <w:szCs w:val="20"/>
        </w:rPr>
        <w:t>Hỗ trợ tối đa 03 nhãn hàng hóa</w:t>
      </w:r>
      <w:r w:rsidR="00D5771E">
        <w:rPr>
          <w:szCs w:val="20"/>
        </w:rPr>
        <w:t>/ cơ sở)</w:t>
      </w:r>
      <w:r w:rsidR="000F1D2A" w:rsidRPr="00FE246C">
        <w:rPr>
          <w:szCs w:val="20"/>
        </w:rPr>
        <w:t>: không quá 1</w:t>
      </w:r>
      <w:r w:rsidRPr="00FE246C">
        <w:rPr>
          <w:szCs w:val="20"/>
        </w:rPr>
        <w:t>0</w:t>
      </w:r>
      <w:r w:rsidR="000F1D2A" w:rsidRPr="00FE246C">
        <w:rPr>
          <w:szCs w:val="20"/>
        </w:rPr>
        <w:t xml:space="preserve"> triệu đồng/ nhãn hàng hóa.</w:t>
      </w:r>
      <w:r w:rsidRPr="00FE246C">
        <w:rPr>
          <w:szCs w:val="20"/>
        </w:rPr>
        <w:t>.</w:t>
      </w:r>
    </w:p>
    <w:p w:rsidR="00B04C6A" w:rsidRPr="00FE246C" w:rsidRDefault="008018BB" w:rsidP="00E65CE6">
      <w:pPr>
        <w:spacing w:before="120" w:after="120" w:line="240" w:lineRule="auto"/>
        <w:ind w:firstLine="720"/>
        <w:jc w:val="both"/>
        <w:rPr>
          <w:lang w:val="fr-FR"/>
        </w:rPr>
      </w:pPr>
      <w:r w:rsidRPr="00FE246C">
        <w:rPr>
          <w:lang w:val="fr-FR"/>
        </w:rPr>
        <w:t>4.</w:t>
      </w:r>
      <w:r w:rsidR="00B04C6A" w:rsidRPr="00FE246C">
        <w:rPr>
          <w:lang w:val="fr-FR"/>
        </w:rPr>
        <w:t xml:space="preserve"> Hỗ trợ chi phí đăng ký bảo hộ đối với giống cây trồng.</w:t>
      </w:r>
    </w:p>
    <w:p w:rsidR="000F1D2A" w:rsidRPr="00FE246C" w:rsidRDefault="005D2DDD" w:rsidP="00E65CE6">
      <w:pPr>
        <w:spacing w:before="120" w:after="120" w:line="240" w:lineRule="auto"/>
        <w:ind w:firstLine="720"/>
        <w:jc w:val="both"/>
        <w:rPr>
          <w:lang w:val="fr-FR"/>
        </w:rPr>
      </w:pPr>
      <w:r w:rsidRPr="00FE246C">
        <w:rPr>
          <w:szCs w:val="20"/>
        </w:rPr>
        <w:t xml:space="preserve">Hỗ trợ </w:t>
      </w:r>
      <w:r w:rsidR="00FD7EF4" w:rsidRPr="00FE246C">
        <w:rPr>
          <w:szCs w:val="20"/>
        </w:rPr>
        <w:t xml:space="preserve">50% </w:t>
      </w:r>
      <w:r w:rsidRPr="00FE246C">
        <w:rPr>
          <w:szCs w:val="20"/>
        </w:rPr>
        <w:t>trên tổng chi phí</w:t>
      </w:r>
      <w:r w:rsidR="00FD7EF4" w:rsidRPr="00FE246C">
        <w:rPr>
          <w:szCs w:val="20"/>
        </w:rPr>
        <w:t xml:space="preserve"> nhưng</w:t>
      </w:r>
      <w:r w:rsidRPr="00FE246C">
        <w:rPr>
          <w:szCs w:val="20"/>
        </w:rPr>
        <w:t xml:space="preserve"> </w:t>
      </w:r>
      <w:r w:rsidR="000F1D2A" w:rsidRPr="00FE246C">
        <w:rPr>
          <w:shd w:val="clear" w:color="auto" w:fill="FFFFFF"/>
        </w:rPr>
        <w:t>không quá 30 triệu đồng/</w:t>
      </w:r>
      <w:r w:rsidR="00FD7EF4" w:rsidRPr="00FE246C">
        <w:rPr>
          <w:shd w:val="clear" w:color="auto" w:fill="FFFFFF"/>
        </w:rPr>
        <w:t xml:space="preserve"> giống cây trồng</w:t>
      </w:r>
      <w:r w:rsidR="000F1D2A" w:rsidRPr="00FE246C">
        <w:rPr>
          <w:shd w:val="clear" w:color="auto" w:fill="FFFFFF"/>
        </w:rPr>
        <w:t>.</w:t>
      </w:r>
    </w:p>
    <w:p w:rsidR="006F5961" w:rsidRPr="00FE246C" w:rsidRDefault="006F5961" w:rsidP="00E65CE6">
      <w:pPr>
        <w:spacing w:before="120" w:after="120" w:line="240" w:lineRule="auto"/>
        <w:ind w:firstLine="720"/>
        <w:jc w:val="both"/>
        <w:rPr>
          <w:b/>
          <w:lang w:val="fr-FR"/>
        </w:rPr>
      </w:pPr>
      <w:r w:rsidRPr="00FE246C">
        <w:rPr>
          <w:b/>
          <w:lang w:val="pt-BR"/>
        </w:rPr>
        <w:t xml:space="preserve">Điều 4. Hỗ trợ </w:t>
      </w:r>
      <w:r w:rsidRPr="00FE246C">
        <w:rPr>
          <w:b/>
          <w:lang w:val="nl-NL"/>
        </w:rPr>
        <w:t>hoạt động đ</w:t>
      </w:r>
      <w:r w:rsidRPr="00FE246C">
        <w:rPr>
          <w:b/>
          <w:lang w:val="fr-FR"/>
        </w:rPr>
        <w:t>ổi mới, chuyển giao công nghệ; chuyển giao kết quả nghiên cứu khoa học và công nghệ</w:t>
      </w:r>
    </w:p>
    <w:p w:rsidR="006F5961" w:rsidRPr="00FE246C" w:rsidRDefault="006F5961" w:rsidP="00E65CE6">
      <w:pPr>
        <w:spacing w:before="120" w:after="120"/>
        <w:ind w:firstLine="720"/>
        <w:jc w:val="both"/>
        <w:rPr>
          <w:lang w:val="fr-FR"/>
        </w:rPr>
      </w:pPr>
      <w:r w:rsidRPr="00FE246C">
        <w:rPr>
          <w:lang w:val="fr-FR"/>
        </w:rPr>
        <w:t xml:space="preserve">1. </w:t>
      </w:r>
      <w:r w:rsidR="00DC7FF0" w:rsidRPr="00FE246C">
        <w:rPr>
          <w:lang w:val="fr-FR"/>
        </w:rPr>
        <w:t xml:space="preserve">Hỗ </w:t>
      </w:r>
      <w:r w:rsidRPr="00FE246C">
        <w:rPr>
          <w:lang w:val="fr-FR"/>
        </w:rPr>
        <w:t>trợ chi phí chuyển giao công nghệ đối với các hợp đồng chuyển giao công nghệ có đăng ký chuyển giao được Sở Khoa học và Công nghệ Đồng Tháp xác nhận, bao gồm:</w:t>
      </w:r>
    </w:p>
    <w:p w:rsidR="006F5961" w:rsidRPr="00FE246C" w:rsidRDefault="008018BB" w:rsidP="00E65CE6">
      <w:pPr>
        <w:spacing w:before="120" w:after="120"/>
        <w:ind w:firstLine="720"/>
        <w:jc w:val="both"/>
        <w:rPr>
          <w:lang w:val="fr-FR"/>
        </w:rPr>
      </w:pPr>
      <w:r w:rsidRPr="00FE246C">
        <w:rPr>
          <w:lang w:val="fr-FR"/>
        </w:rPr>
        <w:lastRenderedPageBreak/>
        <w:t>a)</w:t>
      </w:r>
      <w:r w:rsidR="006F5961" w:rsidRPr="00FE246C">
        <w:rPr>
          <w:lang w:val="fr-FR"/>
        </w:rPr>
        <w:t xml:space="preserve"> </w:t>
      </w:r>
      <w:r w:rsidR="008F2A8F" w:rsidRPr="00FE246C">
        <w:rPr>
          <w:lang w:val="fr-FR"/>
        </w:rPr>
        <w:t xml:space="preserve">Chuyển </w:t>
      </w:r>
      <w:r w:rsidR="006F5961" w:rsidRPr="00FE246C">
        <w:rPr>
          <w:lang w:val="fr-FR"/>
        </w:rPr>
        <w:t>giao công nghệ độc lậ</w:t>
      </w:r>
      <w:r w:rsidR="00FD7EF4" w:rsidRPr="00FE246C">
        <w:rPr>
          <w:lang w:val="fr-FR"/>
        </w:rPr>
        <w:t>p:</w:t>
      </w:r>
    </w:p>
    <w:p w:rsidR="008C6071" w:rsidRPr="00FE246C" w:rsidRDefault="00FD7EF4" w:rsidP="00E65CE6">
      <w:pPr>
        <w:spacing w:before="120" w:after="120"/>
        <w:ind w:firstLine="720"/>
        <w:jc w:val="both"/>
        <w:rPr>
          <w:lang w:val="fr-FR"/>
        </w:rPr>
      </w:pPr>
      <w:r w:rsidRPr="00FE246C">
        <w:rPr>
          <w:lang w:val="fr-FR"/>
        </w:rPr>
        <w:t>Hỗ trợ chuyển giao công nghệ độc lập (việc xem xét căn cứ vào hợp đồng thực hiện và hỗ trợ chủ yếu cho các nội dung như: chi phí tư vấn, đào tạo, hỗ trợ kỹ thuật</w:t>
      </w:r>
      <w:r w:rsidRPr="00FE246C">
        <w:t>; chuyển giao phương án, quy trình công nghệ; chuyển giao giải pháp, thông số, bản vẽ, sơ đồ kỹ thuật; công thức, phần mềm máy tính, thông tin dữ liệu;</w:t>
      </w:r>
      <w:r w:rsidRPr="00FE246C">
        <w:rPr>
          <w:lang w:val="fr-FR"/>
        </w:rPr>
        <w:t xml:space="preserve"> không xét hỗ trợ mua sắm máy móc, thiết bị, nhà xưởng, nguyên, nhiên vật liệu): 50% </w:t>
      </w:r>
      <w:r w:rsidR="008C6071" w:rsidRPr="00FE246C">
        <w:rPr>
          <w:lang w:val="fr-FR"/>
        </w:rPr>
        <w:t xml:space="preserve">giá trị hợp đồng </w:t>
      </w:r>
      <w:r w:rsidRPr="00FE246C">
        <w:rPr>
          <w:lang w:val="fr-FR"/>
        </w:rPr>
        <w:t xml:space="preserve">nhưng không quá </w:t>
      </w:r>
      <w:r w:rsidR="008C6071" w:rsidRPr="00FE246C">
        <w:rPr>
          <w:lang w:val="fr-FR"/>
        </w:rPr>
        <w:t>10</w:t>
      </w:r>
      <w:r w:rsidRPr="00FE246C">
        <w:rPr>
          <w:lang w:val="fr-FR"/>
        </w:rPr>
        <w:t>0 triệu đồng</w:t>
      </w:r>
      <w:r w:rsidR="008C6071" w:rsidRPr="00FE246C">
        <w:rPr>
          <w:lang w:val="fr-FR"/>
        </w:rPr>
        <w:t>; không quá 1 hợp đồng/ năm.</w:t>
      </w:r>
    </w:p>
    <w:p w:rsidR="008C6071" w:rsidRPr="00FE246C" w:rsidRDefault="008018BB" w:rsidP="00E65CE6">
      <w:pPr>
        <w:spacing w:before="120" w:after="120"/>
        <w:ind w:firstLine="720"/>
        <w:jc w:val="both"/>
        <w:rPr>
          <w:lang w:val="fr-FR"/>
        </w:rPr>
      </w:pPr>
      <w:r w:rsidRPr="00FE246C">
        <w:rPr>
          <w:lang w:val="fr-FR"/>
        </w:rPr>
        <w:t>b)</w:t>
      </w:r>
      <w:r w:rsidR="006F5961" w:rsidRPr="00FE246C">
        <w:rPr>
          <w:lang w:val="fr-FR"/>
        </w:rPr>
        <w:t xml:space="preserve"> Hỗ trợ chuyển giao công nghệ có kèm máy móc, thiết bị</w:t>
      </w:r>
      <w:r w:rsidR="008C6071" w:rsidRPr="00FE246C">
        <w:rPr>
          <w:lang w:val="fr-FR"/>
        </w:rPr>
        <w:t>: 50% giá trị hợp đồng nhưng không quá 200 triệu đồng; không quá 1 hợp đồng/ năm.</w:t>
      </w:r>
    </w:p>
    <w:p w:rsidR="008C6071" w:rsidRPr="00FE246C" w:rsidRDefault="006F5961" w:rsidP="00E65CE6">
      <w:pPr>
        <w:spacing w:before="120" w:after="120"/>
        <w:ind w:firstLine="720"/>
        <w:jc w:val="both"/>
        <w:rPr>
          <w:lang w:val="fr-FR"/>
        </w:rPr>
      </w:pPr>
      <w:r w:rsidRPr="00FE246C">
        <w:rPr>
          <w:lang w:val="fr-FR"/>
        </w:rPr>
        <w:t xml:space="preserve">2. Hỗ trợ kinh phí </w:t>
      </w:r>
      <w:r w:rsidR="00285384" w:rsidRPr="00FE246C">
        <w:rPr>
          <w:lang w:val="fr-FR"/>
        </w:rPr>
        <w:t xml:space="preserve">thẩm định, </w:t>
      </w:r>
      <w:r w:rsidRPr="00FE246C">
        <w:rPr>
          <w:lang w:val="fr-FR"/>
        </w:rPr>
        <w:t>đánh giá công nghệ</w:t>
      </w:r>
      <w:r w:rsidR="00285384" w:rsidRPr="00FE246C">
        <w:rPr>
          <w:lang w:val="fr-FR"/>
        </w:rPr>
        <w:t>, thiết bị</w:t>
      </w:r>
      <w:r w:rsidR="008C6071" w:rsidRPr="00FE246C">
        <w:rPr>
          <w:lang w:val="fr-FR"/>
        </w:rPr>
        <w:t xml:space="preserve">: </w:t>
      </w:r>
      <w:r w:rsidR="008C6071" w:rsidRPr="00FE246C">
        <w:rPr>
          <w:spacing w:val="4"/>
          <w:lang w:val="fr-FR"/>
        </w:rPr>
        <w:t>50% giá trị hợp đồng nhưng tối đa không quá 10 triệu đồng/ hợp đồng.</w:t>
      </w:r>
    </w:p>
    <w:p w:rsidR="006F5961" w:rsidRPr="00FE246C" w:rsidRDefault="006F5961" w:rsidP="00E65CE6">
      <w:pPr>
        <w:spacing w:before="120" w:after="120"/>
        <w:ind w:firstLine="720"/>
        <w:jc w:val="both"/>
      </w:pPr>
      <w:r w:rsidRPr="00FE246C">
        <w:t>3. Chuyển giao quyền sử dụng (không thu phí) các kết quả nghiên cứu của các đề tài, dự án sử dụng ngân sách của Tỉnh cho các doanh nghiệp thực hiện đổi mới công nghệ.</w:t>
      </w:r>
    </w:p>
    <w:p w:rsidR="006F5961" w:rsidRPr="00FE246C" w:rsidRDefault="006F5961" w:rsidP="00E65CE6">
      <w:pPr>
        <w:spacing w:before="120" w:after="120"/>
        <w:ind w:firstLine="720"/>
        <w:jc w:val="both"/>
        <w:rPr>
          <w:b/>
          <w:lang w:val="fr-FR"/>
        </w:rPr>
      </w:pPr>
      <w:r w:rsidRPr="00FE246C">
        <w:rPr>
          <w:b/>
          <w:lang w:val="fr-FR"/>
        </w:rPr>
        <w:t>Điề</w:t>
      </w:r>
      <w:r w:rsidR="008E4477" w:rsidRPr="00FE246C">
        <w:rPr>
          <w:b/>
          <w:lang w:val="fr-FR"/>
        </w:rPr>
        <w:t>u 5</w:t>
      </w:r>
      <w:r w:rsidRPr="00FE246C">
        <w:rPr>
          <w:b/>
          <w:lang w:val="fr-FR"/>
        </w:rPr>
        <w:t>. Hỗ trợ các hoạt động về tiêu chuẩn, đo lường, chất lượng</w:t>
      </w:r>
    </w:p>
    <w:p w:rsidR="008C6071" w:rsidRPr="00FE246C" w:rsidRDefault="006F5961" w:rsidP="00E65CE6">
      <w:pPr>
        <w:spacing w:before="120" w:after="120"/>
        <w:ind w:firstLine="720"/>
        <w:jc w:val="both"/>
      </w:pPr>
      <w:r w:rsidRPr="00FE246C">
        <w:rPr>
          <w:lang w:val="fr-FR"/>
        </w:rPr>
        <w:t xml:space="preserve">1. </w:t>
      </w:r>
      <w:r w:rsidR="0014563A" w:rsidRPr="00FE246C">
        <w:rPr>
          <w:lang w:val="fr-FR"/>
        </w:rPr>
        <w:t xml:space="preserve">Hỗ trợ chi phí tham </w:t>
      </w:r>
      <w:r w:rsidRPr="00FE246C">
        <w:rPr>
          <w:lang w:val="fr-FR"/>
        </w:rPr>
        <w:t>gia các giải thưởng</w:t>
      </w:r>
      <w:r w:rsidRPr="00FE246C">
        <w:t>, hội chợ, triển lãm có liên quan đến lĩnh vực khoa học và công nghệ</w:t>
      </w:r>
      <w:r w:rsidR="008F2A8F" w:rsidRPr="00FE246C">
        <w:t>: không quá 15 triệu đồng/ lượt; không quá 01 lượt/ năm.</w:t>
      </w:r>
    </w:p>
    <w:p w:rsidR="006F5961" w:rsidRPr="00FE246C" w:rsidRDefault="006F5961" w:rsidP="00E65CE6">
      <w:pPr>
        <w:spacing w:before="120" w:after="120"/>
        <w:ind w:firstLine="720"/>
        <w:jc w:val="both"/>
      </w:pPr>
      <w:r w:rsidRPr="00FE246C">
        <w:t xml:space="preserve">2. </w:t>
      </w:r>
      <w:r w:rsidR="00DC7FF0" w:rsidRPr="00FE246C">
        <w:rPr>
          <w:lang w:val="fr-FR"/>
        </w:rPr>
        <w:t>H</w:t>
      </w:r>
      <w:r w:rsidR="00DC7FF0" w:rsidRPr="00FE246C">
        <w:t xml:space="preserve">ỗ </w:t>
      </w:r>
      <w:r w:rsidRPr="00FE246C">
        <w:t xml:space="preserve">trợ </w:t>
      </w:r>
      <w:r w:rsidR="0014563A" w:rsidRPr="00FE246C">
        <w:t xml:space="preserve">chi phí </w:t>
      </w:r>
      <w:r w:rsidRPr="00FE246C">
        <w:t>về phân tích, thử nghiệm chất lượng sản phẩm, hàng hóa; kiểm định, hiệu chuẩn phương tiện đo, chuẩn đo lườ</w:t>
      </w:r>
      <w:r w:rsidR="008F2A8F" w:rsidRPr="00FE246C">
        <w:t>ng: không quá 10 triệu đồng/ hợp đồng;</w:t>
      </w:r>
    </w:p>
    <w:p w:rsidR="008F2A8F" w:rsidRPr="00FE246C" w:rsidRDefault="006F5961" w:rsidP="00E65CE6">
      <w:pPr>
        <w:spacing w:before="120" w:after="120"/>
        <w:ind w:firstLine="720"/>
        <w:jc w:val="both"/>
      </w:pPr>
      <w:r w:rsidRPr="00FE246C">
        <w:t xml:space="preserve">3. </w:t>
      </w:r>
      <w:r w:rsidR="00DC7FF0" w:rsidRPr="00FE246C">
        <w:t xml:space="preserve">Hỗ </w:t>
      </w:r>
      <w:r w:rsidRPr="00FE246C">
        <w:t xml:space="preserve">trợ </w:t>
      </w:r>
      <w:r w:rsidR="0014563A" w:rsidRPr="00FE246C">
        <w:t xml:space="preserve">chi phí </w:t>
      </w:r>
      <w:r w:rsidR="008F2A8F" w:rsidRPr="00FE246C">
        <w:t xml:space="preserve">xây dựng và áp dụng hệ thống </w:t>
      </w:r>
      <w:r w:rsidRPr="00FE246C">
        <w:t>truy suất nguồn gố</w:t>
      </w:r>
      <w:r w:rsidR="008F2A8F" w:rsidRPr="00FE246C">
        <w:t xml:space="preserve">c: </w:t>
      </w:r>
      <w:r w:rsidR="008965B0" w:rsidRPr="008965B0">
        <w:rPr>
          <w:color w:val="FF0000"/>
        </w:rPr>
        <w:t>“</w:t>
      </w:r>
      <w:r w:rsidR="008F2A8F" w:rsidRPr="00FE246C">
        <w:rPr>
          <w:szCs w:val="20"/>
        </w:rPr>
        <w:t xml:space="preserve">50% giá trị hợp đồng hoặc </w:t>
      </w:r>
      <w:r w:rsidR="004F214F" w:rsidRPr="00FE246C">
        <w:rPr>
          <w:szCs w:val="20"/>
        </w:rPr>
        <w:t xml:space="preserve">hóa đơn, </w:t>
      </w:r>
      <w:r w:rsidR="008F2A8F" w:rsidRPr="00FE246C">
        <w:rPr>
          <w:szCs w:val="20"/>
        </w:rPr>
        <w:t xml:space="preserve">chứng từ phát sinh nhưng không quá 40 triệu đồng. </w:t>
      </w:r>
      <w:r w:rsidR="008F2A8F" w:rsidRPr="00FE246C">
        <w:rPr>
          <w:spacing w:val="-4"/>
          <w:szCs w:val="20"/>
        </w:rPr>
        <w:t>Hỗ trợ in ấn tem điện tử truy xuất nguồn gốc: không quá 05 triệu đồng/ sản phẩm</w:t>
      </w:r>
      <w:r w:rsidR="004F214F" w:rsidRPr="00FE246C">
        <w:rPr>
          <w:spacing w:val="-4"/>
          <w:szCs w:val="20"/>
        </w:rPr>
        <w:t>, hàng hóa</w:t>
      </w:r>
      <w:r w:rsidR="008F2A8F" w:rsidRPr="00FE246C">
        <w:rPr>
          <w:spacing w:val="-4"/>
          <w:szCs w:val="20"/>
        </w:rPr>
        <w:t>”.</w:t>
      </w:r>
    </w:p>
    <w:p w:rsidR="006F5961" w:rsidRPr="00FE246C" w:rsidRDefault="008F2A8F" w:rsidP="00E65CE6">
      <w:pPr>
        <w:spacing w:before="120" w:after="120"/>
        <w:ind w:firstLine="720"/>
        <w:jc w:val="both"/>
      </w:pPr>
      <w:r w:rsidRPr="00FE246C">
        <w:t xml:space="preserve">4. Hỗ trợ </w:t>
      </w:r>
      <w:r w:rsidR="0014563A" w:rsidRPr="00FE246C">
        <w:t xml:space="preserve">chi phí </w:t>
      </w:r>
      <w:r w:rsidRPr="00FE246C">
        <w:t xml:space="preserve">thực hiện kiểm </w:t>
      </w:r>
      <w:r w:rsidR="006F5961" w:rsidRPr="00FE246C">
        <w:t>toán năng lượ</w:t>
      </w:r>
      <w:r w:rsidR="004F214F" w:rsidRPr="00FE246C">
        <w:t xml:space="preserve">ng: </w:t>
      </w:r>
      <w:r w:rsidR="004F214F" w:rsidRPr="00FE246C">
        <w:rPr>
          <w:lang w:val="fr-FR"/>
        </w:rPr>
        <w:t>không quá 30 triệu đồng/ cơ sở.</w:t>
      </w:r>
    </w:p>
    <w:p w:rsidR="006F5961" w:rsidRPr="00FE246C" w:rsidRDefault="008F2A8F" w:rsidP="00E65CE6">
      <w:pPr>
        <w:spacing w:before="120" w:after="120"/>
        <w:ind w:firstLine="720"/>
        <w:jc w:val="both"/>
      </w:pPr>
      <w:r w:rsidRPr="00FE246C">
        <w:t>5</w:t>
      </w:r>
      <w:r w:rsidR="006F5961" w:rsidRPr="00FE246C">
        <w:t xml:space="preserve">. </w:t>
      </w:r>
      <w:r w:rsidR="00DC7FF0" w:rsidRPr="00FE246C">
        <w:t xml:space="preserve">Hỗ </w:t>
      </w:r>
      <w:r w:rsidR="006F5961" w:rsidRPr="00FE246C">
        <w:t xml:space="preserve">trợ </w:t>
      </w:r>
      <w:r w:rsidR="0014563A" w:rsidRPr="00FE246C">
        <w:t xml:space="preserve">chi phí </w:t>
      </w:r>
      <w:r w:rsidR="006F5961" w:rsidRPr="00FE246C">
        <w:t xml:space="preserve">về công bố tiêu chuẩn, quy chuẩn kỹ thuật; </w:t>
      </w:r>
      <w:r w:rsidR="004F214F" w:rsidRPr="00FE246C">
        <w:t xml:space="preserve">xây dựng và công bố </w:t>
      </w:r>
      <w:r w:rsidR="006F5961" w:rsidRPr="00FE246C">
        <w:t>tiêu chuẩn cơ sở</w:t>
      </w:r>
      <w:r w:rsidR="004F214F" w:rsidRPr="00FE246C">
        <w:t>.</w:t>
      </w:r>
    </w:p>
    <w:p w:rsidR="004F214F" w:rsidRPr="00FE246C" w:rsidRDefault="004F214F" w:rsidP="00E65CE6">
      <w:pPr>
        <w:spacing w:before="120" w:after="120"/>
        <w:ind w:firstLine="720"/>
        <w:jc w:val="both"/>
      </w:pPr>
      <w:r w:rsidRPr="00FE246C">
        <w:t>a) Công bố phù hợp quy chuẩn hoặc tiêu chuẩn kỹ thuật quốc gia: không quá 10 triệu đồng/ Quy chuẩn/Tiêu chuẩn.</w:t>
      </w:r>
    </w:p>
    <w:p w:rsidR="004F214F" w:rsidRPr="00FE246C" w:rsidRDefault="004F214F" w:rsidP="00E65CE6">
      <w:pPr>
        <w:spacing w:before="120" w:after="120"/>
        <w:ind w:firstLine="720"/>
        <w:jc w:val="both"/>
      </w:pPr>
      <w:r w:rsidRPr="00FE246C">
        <w:t>b) Xây dựng và công bố tiêu chuẩn cơ sở: không quá 05 triệu</w:t>
      </w:r>
      <w:r w:rsidR="008965B0" w:rsidRPr="008965B0">
        <w:rPr>
          <w:color w:val="FF0000"/>
        </w:rPr>
        <w:t xml:space="preserve"> </w:t>
      </w:r>
      <w:r w:rsidR="008965B0" w:rsidRPr="008965B0">
        <w:rPr>
          <w:color w:val="FF0000"/>
        </w:rPr>
        <w:t>đồng</w:t>
      </w:r>
      <w:r w:rsidR="008965B0" w:rsidRPr="00FE246C">
        <w:t xml:space="preserve"> </w:t>
      </w:r>
      <w:r w:rsidRPr="00FE246C">
        <w:t>/ tiêu chuẩn.</w:t>
      </w:r>
    </w:p>
    <w:p w:rsidR="004F214F" w:rsidRPr="00FE246C" w:rsidRDefault="008F2A8F" w:rsidP="00E65CE6">
      <w:pPr>
        <w:spacing w:before="120" w:after="120"/>
        <w:ind w:firstLine="720"/>
        <w:jc w:val="both"/>
        <w:rPr>
          <w:lang w:val="fr-FR"/>
        </w:rPr>
      </w:pPr>
      <w:r w:rsidRPr="00FE246C">
        <w:rPr>
          <w:lang w:val="fr-FR"/>
        </w:rPr>
        <w:lastRenderedPageBreak/>
        <w:t>6</w:t>
      </w:r>
      <w:r w:rsidR="008E4477" w:rsidRPr="00FE246C">
        <w:rPr>
          <w:lang w:val="fr-FR"/>
        </w:rPr>
        <w:t xml:space="preserve">. </w:t>
      </w:r>
      <w:r w:rsidR="0014563A" w:rsidRPr="00FE246C">
        <w:rPr>
          <w:lang w:val="fr-FR"/>
        </w:rPr>
        <w:t xml:space="preserve">Hỗ trợ chi phí xây </w:t>
      </w:r>
      <w:r w:rsidR="008E4477" w:rsidRPr="00FE246C">
        <w:rPr>
          <w:lang w:val="fr-FR"/>
        </w:rPr>
        <w:t>dựng và áp dụng các hệ thống quản lý tiên tiế</w:t>
      </w:r>
      <w:r w:rsidR="004F214F" w:rsidRPr="00FE246C">
        <w:rPr>
          <w:lang w:val="fr-FR"/>
        </w:rPr>
        <w:t>n:</w:t>
      </w:r>
    </w:p>
    <w:p w:rsidR="004F214F" w:rsidRPr="00FE246C" w:rsidRDefault="0014563A" w:rsidP="00E65CE6">
      <w:pPr>
        <w:spacing w:before="120" w:after="120"/>
        <w:ind w:firstLine="720"/>
        <w:jc w:val="both"/>
        <w:rPr>
          <w:lang w:val="fr-FR"/>
        </w:rPr>
      </w:pPr>
      <w:r w:rsidRPr="00FE246C">
        <w:rPr>
          <w:lang w:val="fr-FR"/>
        </w:rPr>
        <w:t xml:space="preserve">Xây </w:t>
      </w:r>
      <w:r w:rsidR="004F214F" w:rsidRPr="00FE246C">
        <w:rPr>
          <w:lang w:val="fr-FR"/>
        </w:rPr>
        <w:t xml:space="preserve">dựng và áp dụng </w:t>
      </w:r>
      <w:r w:rsidRPr="00FE246C">
        <w:rPr>
          <w:lang w:val="fr-FR"/>
        </w:rPr>
        <w:t xml:space="preserve">(lần đầu) </w:t>
      </w:r>
      <w:r w:rsidR="004F214F" w:rsidRPr="00FE246C">
        <w:rPr>
          <w:lang w:val="fr-FR"/>
        </w:rPr>
        <w:t xml:space="preserve">đơn lẻ hoặc tích hợp các hệ thống quản lý tiên tiến theo các tiêu chuẩn: ISO 9001, ISO 14000, ISO 22000, ISO 27000, ISO 45000, ISO 50000, GMP, HACCP, ISO/TCVN 17025, SQF, GlobalGAP, VietGAP, ASC, BAP, HALAL, BRC hoặc xây dựng và áp dụng tích hợp các hệ thống: 50% </w:t>
      </w:r>
      <w:r w:rsidRPr="00FE246C">
        <w:rPr>
          <w:lang w:val="fr-FR"/>
        </w:rPr>
        <w:t>giá trị hợp đồng</w:t>
      </w:r>
      <w:r w:rsidR="004F214F" w:rsidRPr="00FE246C">
        <w:rPr>
          <w:lang w:val="fr-FR"/>
        </w:rPr>
        <w:t xml:space="preserve"> nhưng không quá 60 triệu đồng.</w:t>
      </w:r>
    </w:p>
    <w:p w:rsidR="0014563A" w:rsidRPr="00FE246C" w:rsidRDefault="008F2A8F" w:rsidP="00E65CE6">
      <w:pPr>
        <w:spacing w:before="120" w:after="120"/>
        <w:ind w:firstLine="720"/>
        <w:jc w:val="both"/>
        <w:rPr>
          <w:lang w:val="fr-FR"/>
        </w:rPr>
      </w:pPr>
      <w:r w:rsidRPr="00FE246C">
        <w:t>7</w:t>
      </w:r>
      <w:r w:rsidR="008E4477" w:rsidRPr="00FE246C">
        <w:t xml:space="preserve">. </w:t>
      </w:r>
      <w:r w:rsidR="0014563A" w:rsidRPr="00FE246C">
        <w:rPr>
          <w:lang w:val="fr-FR"/>
        </w:rPr>
        <w:t xml:space="preserve">Hỗ trợ chi phí xây dựng và áp </w:t>
      </w:r>
      <w:r w:rsidR="008E4477" w:rsidRPr="00FE246C">
        <w:rPr>
          <w:lang w:val="fr-FR"/>
        </w:rPr>
        <w:t>dụng các công cụ cải tiến năng suất, chất lượ</w:t>
      </w:r>
      <w:r w:rsidR="0014563A" w:rsidRPr="00FE246C">
        <w:rPr>
          <w:lang w:val="fr-FR"/>
        </w:rPr>
        <w:t xml:space="preserve">ng như: </w:t>
      </w:r>
      <w:r w:rsidR="0014563A" w:rsidRPr="00FE246C">
        <w:rPr>
          <w:lang w:val="pt-BR"/>
        </w:rPr>
        <w:t>5S, Kaizen (Cải tiến), Lean (tinh gọn), Six Sigma (Sáu sigma), TPM (</w:t>
      </w:r>
      <w:r w:rsidR="0014563A" w:rsidRPr="00FE246C">
        <w:rPr>
          <w:shd w:val="clear" w:color="auto" w:fill="FFFFFF"/>
        </w:rPr>
        <w:t>Bảo trì năng suất tổng thể)</w:t>
      </w:r>
      <w:r w:rsidR="0014563A" w:rsidRPr="00FE246C">
        <w:rPr>
          <w:lang w:val="pt-BR"/>
        </w:rPr>
        <w:t>, KPIs (</w:t>
      </w:r>
      <w:r w:rsidR="0014563A" w:rsidRPr="00FE246C">
        <w:rPr>
          <w:shd w:val="clear" w:color="auto" w:fill="FFFFFF"/>
        </w:rPr>
        <w:t>Hệ thống đo lường và đánh giá hiệu quả công việc)</w:t>
      </w:r>
      <w:r w:rsidR="0014563A" w:rsidRPr="00FE246C">
        <w:rPr>
          <w:lang w:val="pt-BR"/>
        </w:rPr>
        <w:t>, MFCA (</w:t>
      </w:r>
      <w:r w:rsidR="0014563A" w:rsidRPr="00FE246C">
        <w:rPr>
          <w:shd w:val="clear" w:color="auto" w:fill="FFFFFF"/>
        </w:rPr>
        <w:t>Hạch toán chi phí dòng nguyên liệu</w:t>
      </w:r>
      <w:r w:rsidR="0014563A" w:rsidRPr="00FE246C">
        <w:rPr>
          <w:lang w:val="pt-BR"/>
        </w:rPr>
        <w:t>), BSC (</w:t>
      </w:r>
      <w:r w:rsidR="0014563A" w:rsidRPr="00FE246C">
        <w:rPr>
          <w:shd w:val="clear" w:color="auto" w:fill="FFFFFF"/>
        </w:rPr>
        <w:t>Hệ thống bảng điểm cân bằng</w:t>
      </w:r>
      <w:r w:rsidR="0014563A" w:rsidRPr="00FE246C">
        <w:rPr>
          <w:lang w:val="pt-BR"/>
        </w:rPr>
        <w:t xml:space="preserve">): </w:t>
      </w:r>
      <w:r w:rsidR="0014563A" w:rsidRPr="00FE246C">
        <w:rPr>
          <w:lang w:val="fr-FR"/>
        </w:rPr>
        <w:t>50% giá trị hợp đồng nhưng không quá</w:t>
      </w:r>
      <w:r w:rsidR="0014563A" w:rsidRPr="00FE246C">
        <w:rPr>
          <w:lang w:val="pt-BR"/>
        </w:rPr>
        <w:t xml:space="preserve"> 10 triệu đồng.</w:t>
      </w:r>
    </w:p>
    <w:p w:rsidR="006F5961" w:rsidRPr="00FE246C" w:rsidRDefault="006F5961" w:rsidP="00E65CE6">
      <w:pPr>
        <w:spacing w:before="120" w:after="120"/>
        <w:jc w:val="center"/>
        <w:rPr>
          <w:b/>
        </w:rPr>
      </w:pPr>
      <w:r w:rsidRPr="00FE246C">
        <w:rPr>
          <w:b/>
        </w:rPr>
        <w:t>Chương III</w:t>
      </w:r>
    </w:p>
    <w:p w:rsidR="006F5961" w:rsidRPr="00FE246C" w:rsidRDefault="006F5961" w:rsidP="00E65CE6">
      <w:pPr>
        <w:spacing w:before="120" w:after="120"/>
        <w:jc w:val="center"/>
        <w:rPr>
          <w:b/>
        </w:rPr>
      </w:pPr>
      <w:r w:rsidRPr="00FE246C">
        <w:rPr>
          <w:b/>
        </w:rPr>
        <w:t>ĐIỀU KIỆN</w:t>
      </w:r>
      <w:r w:rsidR="00DC7FF0" w:rsidRPr="00FE246C">
        <w:rPr>
          <w:b/>
        </w:rPr>
        <w:t xml:space="preserve"> VÀ KINH PHÍ</w:t>
      </w:r>
      <w:r w:rsidRPr="00FE246C">
        <w:rPr>
          <w:b/>
        </w:rPr>
        <w:t xml:space="preserve"> HỖ TRỢ</w:t>
      </w:r>
    </w:p>
    <w:p w:rsidR="006F5961" w:rsidRPr="00FE246C" w:rsidRDefault="006F5961" w:rsidP="00E65CE6">
      <w:pPr>
        <w:spacing w:before="120" w:after="120"/>
        <w:ind w:firstLine="720"/>
        <w:rPr>
          <w:b/>
        </w:rPr>
      </w:pPr>
      <w:r w:rsidRPr="00FE246C">
        <w:rPr>
          <w:b/>
        </w:rPr>
        <w:t>Điề</w:t>
      </w:r>
      <w:r w:rsidR="008E4477" w:rsidRPr="00FE246C">
        <w:rPr>
          <w:b/>
        </w:rPr>
        <w:t>u 6</w:t>
      </w:r>
      <w:r w:rsidRPr="00FE246C">
        <w:rPr>
          <w:b/>
        </w:rPr>
        <w:t xml:space="preserve">. Điều kiện hỗ trợ </w:t>
      </w:r>
    </w:p>
    <w:p w:rsidR="0014563A" w:rsidRPr="00FE246C" w:rsidRDefault="0014563A" w:rsidP="00E65CE6">
      <w:pPr>
        <w:spacing w:before="120" w:after="120"/>
        <w:ind w:firstLine="720"/>
        <w:jc w:val="both"/>
      </w:pPr>
      <w:r w:rsidRPr="00FE246C">
        <w:t>Các cơ sở để được hưởng chính sách hỗ trợ từ quy định này phải đáp ứng các yêu cầu sau:</w:t>
      </w:r>
    </w:p>
    <w:p w:rsidR="0014563A" w:rsidRPr="00FE246C" w:rsidRDefault="0014563A" w:rsidP="00E65CE6">
      <w:pPr>
        <w:spacing w:before="120" w:after="120"/>
        <w:ind w:firstLine="720"/>
        <w:jc w:val="both"/>
      </w:pPr>
      <w:r w:rsidRPr="00FE246C">
        <w:rPr>
          <w:lang w:val="nl-NL"/>
        </w:rPr>
        <w:t>1. Đang hoạt động sản xuất, kinh doanh; không vi phạm các quy định của pháp luật trong thời gian ít nhất 24 tháng, tính đến thời điểm nộp hồ sơ đề nghị hỗ trợ.</w:t>
      </w:r>
    </w:p>
    <w:p w:rsidR="0014563A" w:rsidRPr="00FE246C" w:rsidRDefault="0014563A" w:rsidP="00E65CE6">
      <w:pPr>
        <w:spacing w:before="120" w:after="120"/>
        <w:jc w:val="both"/>
      </w:pPr>
      <w:r w:rsidRPr="00FE246C">
        <w:tab/>
        <w:t>2. Trừ các nội dung được quy định tần suất hỗ trợ cụ thể tại Quy định này, không xét hỗ trợ đối với các nội dung đã được ngân sách nhà nước hỗ trợ.</w:t>
      </w:r>
    </w:p>
    <w:p w:rsidR="00E65CE6" w:rsidRPr="00FE246C" w:rsidRDefault="00E65CE6" w:rsidP="00E65CE6">
      <w:pPr>
        <w:spacing w:before="120" w:after="120"/>
        <w:jc w:val="both"/>
      </w:pPr>
      <w:r w:rsidRPr="00FE246C">
        <w:tab/>
        <w:t xml:space="preserve">3. Việc xem xét, hỗ trợ dựa trên các bằng chứng </w:t>
      </w:r>
      <w:r w:rsidR="00B11392">
        <w:t>có giá trị pháp lý</w:t>
      </w:r>
      <w:r w:rsidR="00BA34BC">
        <w:t xml:space="preserve"> </w:t>
      </w:r>
      <w:r w:rsidR="00B11392">
        <w:t>về</w:t>
      </w:r>
      <w:r w:rsidRPr="00FE246C">
        <w:t xml:space="preserve"> hoạt động đầu tư của cơ sở.</w:t>
      </w:r>
    </w:p>
    <w:p w:rsidR="00DC7FF0" w:rsidRPr="00FE246C" w:rsidRDefault="00DC7FF0" w:rsidP="00E65CE6">
      <w:pPr>
        <w:spacing w:before="120" w:after="120"/>
        <w:ind w:firstLine="720"/>
        <w:jc w:val="both"/>
        <w:rPr>
          <w:b/>
        </w:rPr>
      </w:pPr>
      <w:r w:rsidRPr="00FE246C">
        <w:rPr>
          <w:b/>
        </w:rPr>
        <w:t>Điề</w:t>
      </w:r>
      <w:r w:rsidR="008E4477" w:rsidRPr="00FE246C">
        <w:rPr>
          <w:b/>
        </w:rPr>
        <w:t>u 7</w:t>
      </w:r>
      <w:r w:rsidRPr="00FE246C">
        <w:rPr>
          <w:b/>
        </w:rPr>
        <w:t>. Kinh phí hỗ trợ</w:t>
      </w:r>
    </w:p>
    <w:p w:rsidR="00DC7FF0" w:rsidRPr="00FE246C" w:rsidRDefault="00DC7FF0" w:rsidP="00E65CE6">
      <w:pPr>
        <w:spacing w:before="120" w:after="120"/>
        <w:ind w:firstLine="720"/>
        <w:jc w:val="both"/>
        <w:rPr>
          <w:spacing w:val="-4"/>
          <w:lang w:val="it-IT"/>
        </w:rPr>
      </w:pPr>
      <w:r w:rsidRPr="00FE246C">
        <w:rPr>
          <w:spacing w:val="-4"/>
          <w:lang w:val="it-IT"/>
        </w:rPr>
        <w:t xml:space="preserve">Nguồn kinh phí sử dụng từ kinh phí sự nghiệp khoa học hàng năm của Tỉnh. </w:t>
      </w:r>
    </w:p>
    <w:p w:rsidR="006F5961" w:rsidRPr="00FE246C" w:rsidRDefault="006F5961" w:rsidP="00E65CE6">
      <w:pPr>
        <w:spacing w:before="120" w:after="120"/>
        <w:jc w:val="center"/>
        <w:rPr>
          <w:b/>
        </w:rPr>
      </w:pPr>
      <w:r w:rsidRPr="00FE246C">
        <w:rPr>
          <w:b/>
          <w:lang w:val="vi-VN"/>
        </w:rPr>
        <w:t xml:space="preserve">Chương </w:t>
      </w:r>
      <w:r w:rsidRPr="00FE246C">
        <w:rPr>
          <w:b/>
        </w:rPr>
        <w:t>IV</w:t>
      </w:r>
    </w:p>
    <w:p w:rsidR="006F5961" w:rsidRPr="00FE246C" w:rsidRDefault="006F5961" w:rsidP="00E65CE6">
      <w:pPr>
        <w:spacing w:before="120" w:after="120"/>
        <w:jc w:val="center"/>
        <w:rPr>
          <w:b/>
          <w:lang w:val="pt-BR"/>
        </w:rPr>
      </w:pPr>
      <w:r w:rsidRPr="00FE246C">
        <w:rPr>
          <w:b/>
          <w:lang w:val="pt-BR"/>
        </w:rPr>
        <w:t>ĐIỀU KHOẢN THI HÀNH</w:t>
      </w:r>
    </w:p>
    <w:p w:rsidR="006F5961" w:rsidRPr="00FE246C" w:rsidRDefault="006F5961" w:rsidP="00E65CE6">
      <w:pPr>
        <w:spacing w:before="120" w:after="120"/>
        <w:ind w:firstLine="720"/>
        <w:rPr>
          <w:lang w:val="pt-BR"/>
        </w:rPr>
      </w:pPr>
      <w:bookmarkStart w:id="0" w:name="dieu_118"/>
      <w:r w:rsidRPr="00FE246C">
        <w:rPr>
          <w:b/>
          <w:lang w:val="pt-BR"/>
        </w:rPr>
        <w:t xml:space="preserve">Điều </w:t>
      </w:r>
      <w:bookmarkEnd w:id="0"/>
      <w:r w:rsidR="008E4477" w:rsidRPr="00FE246C">
        <w:rPr>
          <w:b/>
          <w:lang w:val="pt-BR"/>
        </w:rPr>
        <w:t>8</w:t>
      </w:r>
      <w:r w:rsidRPr="00FE246C">
        <w:rPr>
          <w:b/>
          <w:lang w:val="pt-BR"/>
        </w:rPr>
        <w:t>.</w:t>
      </w:r>
      <w:r w:rsidRPr="00FE246C">
        <w:rPr>
          <w:lang w:val="pt-BR"/>
        </w:rPr>
        <w:t> </w:t>
      </w:r>
      <w:bookmarkStart w:id="1" w:name="dieu_118_name"/>
      <w:r w:rsidRPr="00FE246C">
        <w:rPr>
          <w:b/>
          <w:lang w:val="pt-BR"/>
        </w:rPr>
        <w:t>Tổ chức thực hiện</w:t>
      </w:r>
    </w:p>
    <w:p w:rsidR="006F5961" w:rsidRPr="00FE246C" w:rsidRDefault="006F5961" w:rsidP="00E65CE6">
      <w:pPr>
        <w:spacing w:before="120" w:after="120"/>
        <w:ind w:firstLine="720"/>
        <w:jc w:val="both"/>
        <w:rPr>
          <w:lang w:val="pt-BR"/>
        </w:rPr>
      </w:pPr>
      <w:r w:rsidRPr="00FE246C">
        <w:rPr>
          <w:lang w:val="pt-BR"/>
        </w:rPr>
        <w:t xml:space="preserve">1. Thường trực Hội đồng nhân dân tỉnh, Ủy ban nhân dân tỉnh, các Ban của Hội đồng nhân dân </w:t>
      </w:r>
      <w:r w:rsidR="004F7DF0" w:rsidRPr="00FE246C">
        <w:rPr>
          <w:lang w:val="pt-BR"/>
        </w:rPr>
        <w:t>Tỉnh</w:t>
      </w:r>
      <w:r w:rsidRPr="00FE246C">
        <w:rPr>
          <w:lang w:val="pt-BR"/>
        </w:rPr>
        <w:t xml:space="preserve">, các cơ quan, tổ chức, cá nhân có liên quan chịu trách nhiệm thực hiện Quy </w:t>
      </w:r>
      <w:r w:rsidR="00DC7FF0" w:rsidRPr="00FE246C">
        <w:rPr>
          <w:lang w:val="pt-BR"/>
        </w:rPr>
        <w:t>định</w:t>
      </w:r>
      <w:r w:rsidRPr="00FE246C">
        <w:rPr>
          <w:lang w:val="pt-BR"/>
        </w:rPr>
        <w:t xml:space="preserve"> này.</w:t>
      </w:r>
    </w:p>
    <w:p w:rsidR="006F5961" w:rsidRPr="00FE246C" w:rsidRDefault="006F5961" w:rsidP="00E65CE6">
      <w:pPr>
        <w:spacing w:before="120" w:after="120"/>
        <w:ind w:firstLine="720"/>
        <w:jc w:val="both"/>
        <w:rPr>
          <w:lang w:val="pt-BR"/>
        </w:rPr>
      </w:pPr>
      <w:r w:rsidRPr="00FE246C">
        <w:lastRenderedPageBreak/>
        <w:t>2. Trường hợp các văn bản quy phạm pháp luật dẫn chiếu để áp dụng tạ</w:t>
      </w:r>
      <w:r w:rsidR="00C549AB" w:rsidRPr="00FE246C">
        <w:t>i Quy định</w:t>
      </w:r>
      <w:r w:rsidRPr="00FE246C">
        <w:t xml:space="preserve"> này được sửa đổi, bổ sung hoặc thay thế bằng văn bản mới thì áp dụng theo các văn bản đó</w:t>
      </w:r>
      <w:r w:rsidRPr="00FE246C">
        <w:rPr>
          <w:lang w:val="pt-BR"/>
        </w:rPr>
        <w:t>./.</w:t>
      </w:r>
      <w:bookmarkEnd w:id="1"/>
    </w:p>
    <w:p w:rsidR="006F5961" w:rsidRPr="00FE246C" w:rsidRDefault="006F5961" w:rsidP="006F5961">
      <w:pPr>
        <w:rPr>
          <w:b/>
          <w:lang w:val="pt-BR"/>
        </w:rPr>
      </w:pPr>
      <w:r w:rsidRPr="00FE246C">
        <w:rPr>
          <w:lang w:val="pt-BR"/>
        </w:rPr>
        <w:tab/>
      </w:r>
      <w:r w:rsidRPr="00FE246C">
        <w:rPr>
          <w:lang w:val="pt-BR"/>
        </w:rPr>
        <w:tab/>
      </w:r>
      <w:r w:rsidRPr="00FE246C">
        <w:rPr>
          <w:lang w:val="pt-BR"/>
        </w:rPr>
        <w:tab/>
      </w:r>
      <w:r w:rsidRPr="00FE246C">
        <w:rPr>
          <w:lang w:val="pt-BR"/>
        </w:rPr>
        <w:tab/>
      </w:r>
      <w:r w:rsidRPr="00FE246C">
        <w:rPr>
          <w:lang w:val="pt-BR"/>
        </w:rPr>
        <w:tab/>
      </w:r>
      <w:r w:rsidRPr="00FE246C">
        <w:rPr>
          <w:lang w:val="pt-BR"/>
        </w:rPr>
        <w:tab/>
      </w:r>
      <w:r w:rsidRPr="00FE246C">
        <w:rPr>
          <w:lang w:val="pt-BR"/>
        </w:rPr>
        <w:tab/>
      </w:r>
      <w:r w:rsidR="00DC7FF0" w:rsidRPr="00FE246C">
        <w:rPr>
          <w:lang w:val="pt-BR"/>
        </w:rPr>
        <w:t xml:space="preserve">            </w:t>
      </w:r>
      <w:r w:rsidRPr="00FE246C">
        <w:rPr>
          <w:b/>
          <w:lang w:val="pt-BR"/>
        </w:rPr>
        <w:t>CHỦ TỊCH</w:t>
      </w:r>
    </w:p>
    <w:p w:rsidR="006F5961" w:rsidRPr="00FE246C" w:rsidRDefault="006F5961" w:rsidP="006F5961">
      <w:pPr>
        <w:rPr>
          <w:b/>
          <w:bCs/>
          <w:lang w:val="ru-RU"/>
        </w:rPr>
      </w:pPr>
    </w:p>
    <w:p w:rsidR="006F5961" w:rsidRPr="00FE246C" w:rsidRDefault="006F5961" w:rsidP="006F5961"/>
    <w:p w:rsidR="00BC7DC6" w:rsidRPr="00FE246C" w:rsidRDefault="00BC7DC6">
      <w:bookmarkStart w:id="2" w:name="_GoBack"/>
      <w:bookmarkEnd w:id="2"/>
    </w:p>
    <w:sectPr w:rsidR="00BC7DC6" w:rsidRPr="00FE246C" w:rsidSect="008F0055">
      <w:footerReference w:type="even" r:id="rId7"/>
      <w:footerReference w:type="default" r:id="rId8"/>
      <w:footerReference w:type="first" r:id="rId9"/>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C3" w:rsidRDefault="00C209C3">
      <w:pPr>
        <w:spacing w:before="0" w:line="240" w:lineRule="auto"/>
      </w:pPr>
      <w:r>
        <w:separator/>
      </w:r>
    </w:p>
  </w:endnote>
  <w:endnote w:type="continuationSeparator" w:id="0">
    <w:p w:rsidR="00C209C3" w:rsidRDefault="00C209C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277" w:rsidRDefault="00FC1D01" w:rsidP="005F3255">
    <w:pPr>
      <w:pStyle w:val="Footer"/>
      <w:framePr w:wrap="around" w:vAnchor="text" w:hAnchor="margin" w:xAlign="center" w:y="1"/>
      <w:rPr>
        <w:rStyle w:val="PageNumber"/>
      </w:rPr>
    </w:pPr>
    <w:r>
      <w:rPr>
        <w:rStyle w:val="PageNumber"/>
      </w:rPr>
      <w:fldChar w:fldCharType="begin"/>
    </w:r>
    <w:r w:rsidR="00414D31">
      <w:rPr>
        <w:rStyle w:val="PageNumber"/>
      </w:rPr>
      <w:instrText xml:space="preserve">PAGE  </w:instrText>
    </w:r>
    <w:r>
      <w:rPr>
        <w:rStyle w:val="PageNumber"/>
      </w:rPr>
      <w:fldChar w:fldCharType="end"/>
    </w:r>
  </w:p>
  <w:p w:rsidR="00AC2277" w:rsidRDefault="00C209C3" w:rsidP="00EF00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277" w:rsidRPr="00550528" w:rsidRDefault="00FC1D01" w:rsidP="00550528">
    <w:pPr>
      <w:pStyle w:val="Footer"/>
      <w:framePr w:h="674" w:hRule="exact" w:wrap="around" w:vAnchor="text" w:hAnchor="margin" w:xAlign="center" w:y="351"/>
      <w:rPr>
        <w:rStyle w:val="PageNumber"/>
        <w:sz w:val="24"/>
        <w:szCs w:val="24"/>
      </w:rPr>
    </w:pPr>
    <w:r w:rsidRPr="00550528">
      <w:rPr>
        <w:rStyle w:val="PageNumber"/>
        <w:sz w:val="24"/>
        <w:szCs w:val="24"/>
      </w:rPr>
      <w:fldChar w:fldCharType="begin"/>
    </w:r>
    <w:r w:rsidR="00414D31" w:rsidRPr="00550528">
      <w:rPr>
        <w:rStyle w:val="PageNumber"/>
        <w:sz w:val="24"/>
        <w:szCs w:val="24"/>
      </w:rPr>
      <w:instrText xml:space="preserve">PAGE  </w:instrText>
    </w:r>
    <w:r w:rsidRPr="00550528">
      <w:rPr>
        <w:rStyle w:val="PageNumber"/>
        <w:sz w:val="24"/>
        <w:szCs w:val="24"/>
      </w:rPr>
      <w:fldChar w:fldCharType="separate"/>
    </w:r>
    <w:r w:rsidR="008965B0">
      <w:rPr>
        <w:rStyle w:val="PageNumber"/>
        <w:noProof/>
        <w:sz w:val="24"/>
        <w:szCs w:val="24"/>
      </w:rPr>
      <w:t>7</w:t>
    </w:r>
    <w:r w:rsidRPr="00550528">
      <w:rPr>
        <w:rStyle w:val="PageNumber"/>
        <w:sz w:val="24"/>
        <w:szCs w:val="24"/>
      </w:rPr>
      <w:fldChar w:fldCharType="end"/>
    </w:r>
  </w:p>
  <w:p w:rsidR="00AC2277" w:rsidRDefault="00C209C3" w:rsidP="004A1CDA">
    <w:pPr>
      <w:pStyle w:val="Foote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760213"/>
      <w:docPartObj>
        <w:docPartGallery w:val="Page Numbers (Bottom of Page)"/>
        <w:docPartUnique/>
      </w:docPartObj>
    </w:sdtPr>
    <w:sdtEndPr>
      <w:rPr>
        <w:noProof/>
      </w:rPr>
    </w:sdtEndPr>
    <w:sdtContent>
      <w:p w:rsidR="00EA49BB" w:rsidRDefault="00FC1D01">
        <w:pPr>
          <w:pStyle w:val="Footer"/>
          <w:jc w:val="right"/>
        </w:pPr>
        <w:r>
          <w:fldChar w:fldCharType="begin"/>
        </w:r>
        <w:r w:rsidR="00EA49BB">
          <w:instrText xml:space="preserve"> PAGE   \* MERGEFORMAT </w:instrText>
        </w:r>
        <w:r>
          <w:fldChar w:fldCharType="separate"/>
        </w:r>
        <w:r w:rsidR="008F0055">
          <w:rPr>
            <w:noProof/>
          </w:rPr>
          <w:t>1</w:t>
        </w:r>
        <w:r>
          <w:rPr>
            <w:noProof/>
          </w:rPr>
          <w:fldChar w:fldCharType="end"/>
        </w:r>
      </w:p>
    </w:sdtContent>
  </w:sdt>
  <w:p w:rsidR="00EA49BB" w:rsidRDefault="00EA4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C3" w:rsidRDefault="00C209C3">
      <w:pPr>
        <w:spacing w:before="0" w:line="240" w:lineRule="auto"/>
      </w:pPr>
      <w:r>
        <w:separator/>
      </w:r>
    </w:p>
  </w:footnote>
  <w:footnote w:type="continuationSeparator" w:id="0">
    <w:p w:rsidR="00C209C3" w:rsidRDefault="00C209C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61"/>
    <w:rsid w:val="00006D14"/>
    <w:rsid w:val="00057E6B"/>
    <w:rsid w:val="000859B7"/>
    <w:rsid w:val="000F1D2A"/>
    <w:rsid w:val="00122704"/>
    <w:rsid w:val="0014563A"/>
    <w:rsid w:val="00167FA0"/>
    <w:rsid w:val="00192EEF"/>
    <w:rsid w:val="001930F4"/>
    <w:rsid w:val="001A4307"/>
    <w:rsid w:val="002575F9"/>
    <w:rsid w:val="00285384"/>
    <w:rsid w:val="002C5444"/>
    <w:rsid w:val="00306A1A"/>
    <w:rsid w:val="003674C2"/>
    <w:rsid w:val="003C0D9E"/>
    <w:rsid w:val="00414D31"/>
    <w:rsid w:val="00475CD3"/>
    <w:rsid w:val="004E3788"/>
    <w:rsid w:val="004F214F"/>
    <w:rsid w:val="004F7DF0"/>
    <w:rsid w:val="005D2DDD"/>
    <w:rsid w:val="005E7834"/>
    <w:rsid w:val="00641781"/>
    <w:rsid w:val="006F5961"/>
    <w:rsid w:val="007847A3"/>
    <w:rsid w:val="008018BB"/>
    <w:rsid w:val="008965B0"/>
    <w:rsid w:val="008C6071"/>
    <w:rsid w:val="008E4477"/>
    <w:rsid w:val="008F0055"/>
    <w:rsid w:val="008F2A8F"/>
    <w:rsid w:val="00907667"/>
    <w:rsid w:val="00981331"/>
    <w:rsid w:val="00A5129E"/>
    <w:rsid w:val="00B04C6A"/>
    <w:rsid w:val="00B11392"/>
    <w:rsid w:val="00B9614F"/>
    <w:rsid w:val="00BA34BC"/>
    <w:rsid w:val="00BA420D"/>
    <w:rsid w:val="00BA4C9F"/>
    <w:rsid w:val="00BC7DC6"/>
    <w:rsid w:val="00BF299C"/>
    <w:rsid w:val="00C209C3"/>
    <w:rsid w:val="00C549AB"/>
    <w:rsid w:val="00CD1AE2"/>
    <w:rsid w:val="00CE51CF"/>
    <w:rsid w:val="00D17C53"/>
    <w:rsid w:val="00D5771E"/>
    <w:rsid w:val="00DC7FF0"/>
    <w:rsid w:val="00DD7371"/>
    <w:rsid w:val="00E03E7F"/>
    <w:rsid w:val="00E12B46"/>
    <w:rsid w:val="00E131AB"/>
    <w:rsid w:val="00E65CE6"/>
    <w:rsid w:val="00EA49BB"/>
    <w:rsid w:val="00FC1D01"/>
    <w:rsid w:val="00FD7EF4"/>
    <w:rsid w:val="00FE2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9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F5961"/>
  </w:style>
  <w:style w:type="character" w:styleId="PageNumber">
    <w:name w:val="page number"/>
    <w:basedOn w:val="DefaultParagraphFont"/>
    <w:rsid w:val="006F5961"/>
  </w:style>
  <w:style w:type="paragraph" w:styleId="Header">
    <w:name w:val="header"/>
    <w:basedOn w:val="Normal"/>
    <w:link w:val="HeaderChar"/>
    <w:uiPriority w:val="99"/>
    <w:unhideWhenUsed/>
    <w:rsid w:val="00EA49B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A49BB"/>
  </w:style>
  <w:style w:type="character" w:customStyle="1" w:styleId="fontstyle01">
    <w:name w:val="fontstyle01"/>
    <w:basedOn w:val="DefaultParagraphFont"/>
    <w:rsid w:val="000859B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F1D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9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F5961"/>
  </w:style>
  <w:style w:type="character" w:styleId="PageNumber">
    <w:name w:val="page number"/>
    <w:basedOn w:val="DefaultParagraphFont"/>
    <w:rsid w:val="006F5961"/>
  </w:style>
  <w:style w:type="paragraph" w:styleId="Header">
    <w:name w:val="header"/>
    <w:basedOn w:val="Normal"/>
    <w:link w:val="HeaderChar"/>
    <w:uiPriority w:val="99"/>
    <w:unhideWhenUsed/>
    <w:rsid w:val="00EA49B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A49BB"/>
  </w:style>
  <w:style w:type="character" w:customStyle="1" w:styleId="fontstyle01">
    <w:name w:val="fontstyle01"/>
    <w:basedOn w:val="DefaultParagraphFont"/>
    <w:rsid w:val="000859B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F1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2019-12-24T08:12:00Z</cp:lastPrinted>
  <dcterms:created xsi:type="dcterms:W3CDTF">2020-09-03T03:50:00Z</dcterms:created>
  <dcterms:modified xsi:type="dcterms:W3CDTF">2020-09-03T03:50:00Z</dcterms:modified>
</cp:coreProperties>
</file>