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962" w:rsidRPr="0061172E" w:rsidRDefault="00973962" w:rsidP="00973962">
      <w:pPr>
        <w:pStyle w:val="Heading6"/>
        <w:ind w:firstLine="709"/>
        <w:rPr>
          <w:rFonts w:ascii="Times New Roman" w:hAnsi="Times New Roman" w:cs="Times New Roman"/>
          <w:b/>
          <w:i w:val="0"/>
          <w:color w:val="auto"/>
          <w:sz w:val="26"/>
          <w:szCs w:val="26"/>
          <w:lang w:val="pt-BR"/>
        </w:rPr>
      </w:pPr>
      <w:r w:rsidRPr="0061172E">
        <w:rPr>
          <w:rFonts w:ascii="Times New Roman" w:hAnsi="Times New Roman" w:cs="Times New Roman"/>
          <w:b/>
          <w:bCs/>
          <w:i w:val="0"/>
          <w:color w:val="auto"/>
          <w:sz w:val="26"/>
          <w:szCs w:val="26"/>
          <w:lang w:val="nl-NL"/>
        </w:rPr>
        <w:t>11.</w:t>
      </w:r>
      <w:r w:rsidRPr="0061172E">
        <w:rPr>
          <w:rFonts w:ascii="Times New Roman" w:hAnsi="Times New Roman" w:cs="Times New Roman"/>
          <w:b/>
          <w:i w:val="0"/>
          <w:color w:val="auto"/>
          <w:sz w:val="26"/>
          <w:szCs w:val="26"/>
          <w:lang w:val="pt-BR"/>
        </w:rPr>
        <w:t xml:space="preserve"> Thủ tục xếp hạng Bảo tàng hạng II và III đối với Bảo tàng tỉnh, thành phố, bảo tàng tư nhân.</w:t>
      </w:r>
    </w:p>
    <w:p w:rsidR="00973962" w:rsidRPr="0061172E" w:rsidRDefault="00973962" w:rsidP="00973962">
      <w:pPr>
        <w:shd w:val="clear" w:color="auto" w:fill="FFFFFF"/>
        <w:spacing w:before="120" w:after="120"/>
        <w:ind w:firstLine="652"/>
        <w:jc w:val="both"/>
        <w:rPr>
          <w:b/>
          <w:bCs/>
          <w:sz w:val="26"/>
          <w:lang w:val="vi-VN"/>
        </w:rPr>
      </w:pPr>
      <w:r w:rsidRPr="0061172E">
        <w:rPr>
          <w:b/>
          <w:bCs/>
          <w:sz w:val="26"/>
          <w:lang w:val="vi-VN"/>
        </w:rPr>
        <w:t>1</w:t>
      </w:r>
      <w:r w:rsidRPr="0061172E">
        <w:rPr>
          <w:b/>
          <w:bCs/>
          <w:sz w:val="26"/>
          <w:lang w:val="pt-BR"/>
        </w:rPr>
        <w:t>2</w:t>
      </w:r>
      <w:r w:rsidRPr="0061172E">
        <w:rPr>
          <w:b/>
          <w:bCs/>
          <w:sz w:val="26"/>
          <w:lang w:val="vi-VN"/>
        </w:rPr>
        <w:t>.1. Trình tự, cách thức, thời gian giải quyết thủ tục hành chính</w:t>
      </w:r>
    </w:p>
    <w:tbl>
      <w:tblPr>
        <w:tblStyle w:val="TableGrid"/>
        <w:tblW w:w="10598" w:type="dxa"/>
        <w:tblLook w:val="04A0" w:firstRow="1" w:lastRow="0" w:firstColumn="1" w:lastColumn="0" w:noHBand="0" w:noVBand="1"/>
      </w:tblPr>
      <w:tblGrid>
        <w:gridCol w:w="851"/>
        <w:gridCol w:w="2376"/>
        <w:gridCol w:w="4252"/>
        <w:gridCol w:w="2127"/>
        <w:gridCol w:w="992"/>
      </w:tblGrid>
      <w:tr w:rsidR="00973962" w:rsidRPr="0061172E" w:rsidTr="00E9173C">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973962" w:rsidRPr="0061172E" w:rsidRDefault="00973962" w:rsidP="00E9173C">
            <w:pPr>
              <w:rPr>
                <w:b/>
                <w:sz w:val="26"/>
              </w:rPr>
            </w:pPr>
            <w:r w:rsidRPr="0061172E">
              <w:rPr>
                <w:b/>
                <w:sz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973962" w:rsidRPr="0061172E" w:rsidRDefault="00973962" w:rsidP="00E9173C">
            <w:pPr>
              <w:jc w:val="center"/>
              <w:rPr>
                <w:b/>
                <w:sz w:val="26"/>
              </w:rPr>
            </w:pPr>
            <w:r w:rsidRPr="0061172E">
              <w:rPr>
                <w:b/>
                <w:sz w:val="26"/>
              </w:rPr>
              <w:t>Trình tự thực hiện</w:t>
            </w:r>
          </w:p>
        </w:tc>
        <w:tc>
          <w:tcPr>
            <w:tcW w:w="4252" w:type="dxa"/>
            <w:tcBorders>
              <w:top w:val="single" w:sz="4" w:space="0" w:color="auto"/>
              <w:left w:val="single" w:sz="4" w:space="0" w:color="auto"/>
              <w:bottom w:val="single" w:sz="4" w:space="0" w:color="auto"/>
              <w:right w:val="single" w:sz="4" w:space="0" w:color="auto"/>
            </w:tcBorders>
            <w:vAlign w:val="center"/>
          </w:tcPr>
          <w:p w:rsidR="00973962" w:rsidRPr="0061172E" w:rsidRDefault="00973962" w:rsidP="00E9173C">
            <w:pPr>
              <w:jc w:val="center"/>
              <w:rPr>
                <w:b/>
                <w:sz w:val="26"/>
              </w:rPr>
            </w:pPr>
            <w:r w:rsidRPr="0061172E">
              <w:rPr>
                <w:b/>
                <w:sz w:val="26"/>
              </w:rPr>
              <w:t>Cách thức thực hiện</w:t>
            </w:r>
          </w:p>
        </w:tc>
        <w:tc>
          <w:tcPr>
            <w:tcW w:w="2127" w:type="dxa"/>
            <w:tcBorders>
              <w:top w:val="single" w:sz="4" w:space="0" w:color="auto"/>
              <w:left w:val="single" w:sz="4" w:space="0" w:color="auto"/>
              <w:bottom w:val="single" w:sz="4" w:space="0" w:color="auto"/>
              <w:right w:val="single" w:sz="4" w:space="0" w:color="auto"/>
            </w:tcBorders>
            <w:vAlign w:val="center"/>
          </w:tcPr>
          <w:p w:rsidR="00973962" w:rsidRPr="0061172E" w:rsidRDefault="00973962" w:rsidP="00E9173C">
            <w:pPr>
              <w:jc w:val="center"/>
              <w:rPr>
                <w:b/>
                <w:sz w:val="26"/>
              </w:rPr>
            </w:pPr>
            <w:r w:rsidRPr="0061172E">
              <w:rPr>
                <w:b/>
                <w:sz w:val="26"/>
              </w:rPr>
              <w:t>Thời gian giải quyết</w:t>
            </w:r>
          </w:p>
        </w:tc>
        <w:tc>
          <w:tcPr>
            <w:tcW w:w="992" w:type="dxa"/>
            <w:tcBorders>
              <w:top w:val="single" w:sz="4" w:space="0" w:color="auto"/>
              <w:left w:val="single" w:sz="4" w:space="0" w:color="auto"/>
              <w:bottom w:val="single" w:sz="4" w:space="0" w:color="auto"/>
              <w:right w:val="single" w:sz="4" w:space="0" w:color="auto"/>
            </w:tcBorders>
            <w:vAlign w:val="center"/>
          </w:tcPr>
          <w:p w:rsidR="00973962" w:rsidRPr="0061172E" w:rsidRDefault="00973962" w:rsidP="00E9173C">
            <w:pPr>
              <w:jc w:val="center"/>
              <w:rPr>
                <w:b/>
                <w:sz w:val="26"/>
              </w:rPr>
            </w:pPr>
            <w:r w:rsidRPr="0061172E">
              <w:rPr>
                <w:b/>
                <w:sz w:val="26"/>
              </w:rPr>
              <w:t>Ghi chú</w:t>
            </w:r>
          </w:p>
        </w:tc>
      </w:tr>
      <w:tr w:rsidR="00973962" w:rsidRPr="00927E64" w:rsidTr="00E9173C">
        <w:trPr>
          <w:trHeight w:val="898"/>
        </w:trPr>
        <w:tc>
          <w:tcPr>
            <w:tcW w:w="851" w:type="dxa"/>
            <w:vMerge w:val="restart"/>
            <w:tcBorders>
              <w:top w:val="single" w:sz="4" w:space="0" w:color="auto"/>
            </w:tcBorders>
            <w:vAlign w:val="center"/>
          </w:tcPr>
          <w:p w:rsidR="00973962" w:rsidRPr="0061172E" w:rsidRDefault="00973962" w:rsidP="00E9173C">
            <w:pPr>
              <w:spacing w:after="120" w:line="234" w:lineRule="atLeast"/>
              <w:jc w:val="center"/>
              <w:rPr>
                <w:b/>
                <w:sz w:val="26"/>
              </w:rPr>
            </w:pPr>
            <w:r w:rsidRPr="0061172E">
              <w:rPr>
                <w:b/>
                <w:sz w:val="26"/>
              </w:rPr>
              <w:t>Bước 1</w:t>
            </w:r>
          </w:p>
        </w:tc>
        <w:tc>
          <w:tcPr>
            <w:tcW w:w="2376" w:type="dxa"/>
            <w:vMerge w:val="restart"/>
            <w:tcBorders>
              <w:top w:val="single" w:sz="4" w:space="0" w:color="auto"/>
            </w:tcBorders>
            <w:vAlign w:val="center"/>
          </w:tcPr>
          <w:p w:rsidR="00973962" w:rsidRPr="0061172E" w:rsidRDefault="00973962" w:rsidP="00E9173C">
            <w:pPr>
              <w:shd w:val="clear" w:color="auto" w:fill="FFFFFF"/>
              <w:spacing w:after="120" w:line="234" w:lineRule="atLeast"/>
              <w:jc w:val="both"/>
              <w:rPr>
                <w:sz w:val="26"/>
              </w:rPr>
            </w:pPr>
            <w:r w:rsidRPr="0061172E">
              <w:rPr>
                <w:b/>
                <w:sz w:val="26"/>
              </w:rPr>
              <w:t xml:space="preserve">Nộp hồ sơ thủ tục hành chính: </w:t>
            </w:r>
            <w:r w:rsidRPr="0061172E">
              <w:rPr>
                <w:sz w:val="26"/>
              </w:rPr>
              <w:t>Tổ chức</w:t>
            </w:r>
            <w:r w:rsidRPr="0061172E">
              <w:rPr>
                <w:i/>
                <w:sz w:val="26"/>
              </w:rPr>
              <w:t xml:space="preserve"> chuẩn bị hồ sơ đầy đủ theo quy định và </w:t>
            </w:r>
            <w:r w:rsidRPr="0061172E">
              <w:rPr>
                <w:i/>
                <w:sz w:val="26"/>
                <w:lang w:val="vi-VN"/>
              </w:rPr>
              <w:t xml:space="preserve">nộp hồ sơ </w:t>
            </w:r>
            <w:r w:rsidRPr="0061172E">
              <w:rPr>
                <w:i/>
                <w:sz w:val="26"/>
              </w:rPr>
              <w:t>qua các cách thức sau:</w:t>
            </w:r>
          </w:p>
        </w:tc>
        <w:tc>
          <w:tcPr>
            <w:tcW w:w="4252" w:type="dxa"/>
            <w:tcBorders>
              <w:top w:val="single" w:sz="4" w:space="0" w:color="auto"/>
            </w:tcBorders>
            <w:vAlign w:val="center"/>
          </w:tcPr>
          <w:p w:rsidR="00973962" w:rsidRPr="0061172E" w:rsidRDefault="00973962" w:rsidP="00E9173C">
            <w:pPr>
              <w:spacing w:before="100"/>
              <w:ind w:firstLine="346"/>
              <w:jc w:val="both"/>
              <w:rPr>
                <w:b/>
                <w:sz w:val="26"/>
              </w:rPr>
            </w:pPr>
            <w:r w:rsidRPr="0061172E">
              <w:rPr>
                <w:sz w:val="26"/>
              </w:rPr>
              <w:t xml:space="preserve">1. Nộp </w:t>
            </w:r>
            <w:r w:rsidRPr="0061172E">
              <w:rPr>
                <w:sz w:val="26"/>
                <w:lang w:val="vi-VN"/>
              </w:rPr>
              <w:t xml:space="preserve">trực tiếp </w:t>
            </w:r>
            <w:r w:rsidRPr="0061172E">
              <w:rPr>
                <w:sz w:val="26"/>
                <w:lang w:val="pt-BR"/>
              </w:rPr>
              <w:t xml:space="preserve">đến </w:t>
            </w:r>
            <w:r w:rsidRPr="0061172E">
              <w:rPr>
                <w:sz w:val="26"/>
              </w:rPr>
              <w:t>Trung tâm Kiểm soát thủ tục hành chính và Phục vụ hành chính công – số 85 đường Nguyễn Huệ, phường 1, thành phố Cao Lãnh, tỉnh Đồng Tháp.</w:t>
            </w:r>
          </w:p>
          <w:p w:rsidR="00973962" w:rsidRPr="0061172E" w:rsidRDefault="00973962" w:rsidP="00E9173C">
            <w:pPr>
              <w:shd w:val="clear" w:color="auto" w:fill="FFFFFF"/>
              <w:ind w:firstLine="346"/>
              <w:jc w:val="both"/>
              <w:rPr>
                <w:i/>
                <w:sz w:val="26"/>
              </w:rPr>
            </w:pPr>
          </w:p>
          <w:p w:rsidR="00973962" w:rsidRPr="0061172E" w:rsidRDefault="00973962" w:rsidP="00E9173C">
            <w:pPr>
              <w:shd w:val="clear" w:color="auto" w:fill="FFFFFF"/>
              <w:ind w:firstLine="346"/>
              <w:jc w:val="both"/>
              <w:rPr>
                <w:i/>
                <w:sz w:val="26"/>
                <w:lang w:val="vi-VN"/>
              </w:rPr>
            </w:pPr>
            <w:r w:rsidRPr="0061172E">
              <w:rPr>
                <w:sz w:val="26"/>
                <w:lang w:val="vi-VN"/>
              </w:rPr>
              <w:t>2. Hoặc thông qua dịch vụ bưu chính công ích.</w:t>
            </w:r>
          </w:p>
        </w:tc>
        <w:tc>
          <w:tcPr>
            <w:tcW w:w="2127" w:type="dxa"/>
            <w:tcBorders>
              <w:top w:val="single" w:sz="4" w:space="0" w:color="auto"/>
            </w:tcBorders>
            <w:vAlign w:val="center"/>
          </w:tcPr>
          <w:p w:rsidR="00973962" w:rsidRPr="0061172E" w:rsidRDefault="00973962" w:rsidP="00E9173C">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992" w:type="dxa"/>
            <w:vMerge w:val="restart"/>
            <w:tcBorders>
              <w:top w:val="single" w:sz="4" w:space="0" w:color="auto"/>
            </w:tcBorders>
            <w:vAlign w:val="center"/>
          </w:tcPr>
          <w:p w:rsidR="00973962" w:rsidRPr="0061172E" w:rsidRDefault="00973962" w:rsidP="00E9173C">
            <w:pPr>
              <w:jc w:val="center"/>
              <w:rPr>
                <w:i/>
                <w:sz w:val="26"/>
                <w:lang w:val="vi-VN"/>
              </w:rPr>
            </w:pPr>
          </w:p>
        </w:tc>
      </w:tr>
      <w:tr w:rsidR="00973962" w:rsidRPr="00927E64" w:rsidTr="00E9173C">
        <w:trPr>
          <w:trHeight w:val="359"/>
        </w:trPr>
        <w:tc>
          <w:tcPr>
            <w:tcW w:w="851" w:type="dxa"/>
            <w:vMerge/>
          </w:tcPr>
          <w:p w:rsidR="00973962" w:rsidRPr="0061172E" w:rsidRDefault="00973962" w:rsidP="00E9173C">
            <w:pPr>
              <w:spacing w:after="120" w:line="234" w:lineRule="atLeast"/>
              <w:jc w:val="both"/>
              <w:rPr>
                <w:b/>
                <w:sz w:val="26"/>
                <w:lang w:val="vi-VN"/>
              </w:rPr>
            </w:pPr>
          </w:p>
        </w:tc>
        <w:tc>
          <w:tcPr>
            <w:tcW w:w="2376" w:type="dxa"/>
            <w:vMerge/>
          </w:tcPr>
          <w:p w:rsidR="00973962" w:rsidRPr="0061172E" w:rsidRDefault="00973962" w:rsidP="00E9173C">
            <w:pPr>
              <w:shd w:val="clear" w:color="auto" w:fill="FFFFFF"/>
              <w:spacing w:after="120" w:line="234" w:lineRule="atLeast"/>
              <w:jc w:val="both"/>
              <w:rPr>
                <w:b/>
                <w:sz w:val="26"/>
                <w:lang w:val="vi-VN"/>
              </w:rPr>
            </w:pPr>
          </w:p>
        </w:tc>
        <w:tc>
          <w:tcPr>
            <w:tcW w:w="4252" w:type="dxa"/>
            <w:vAlign w:val="center"/>
          </w:tcPr>
          <w:p w:rsidR="00973962" w:rsidRPr="0061172E" w:rsidRDefault="00973962" w:rsidP="00E9173C">
            <w:pPr>
              <w:shd w:val="clear" w:color="auto" w:fill="FFFFFF"/>
              <w:spacing w:after="120" w:line="234" w:lineRule="atLeast"/>
              <w:ind w:firstLine="346"/>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2127" w:type="dxa"/>
            <w:vAlign w:val="center"/>
          </w:tcPr>
          <w:p w:rsidR="00973962" w:rsidRPr="0061172E" w:rsidRDefault="00973962" w:rsidP="00E9173C">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992" w:type="dxa"/>
            <w:vMerge/>
          </w:tcPr>
          <w:p w:rsidR="00973962" w:rsidRPr="0061172E" w:rsidRDefault="00973962" w:rsidP="00E9173C">
            <w:pPr>
              <w:spacing w:after="120" w:line="234" w:lineRule="atLeast"/>
              <w:jc w:val="both"/>
              <w:rPr>
                <w:b/>
                <w:i/>
                <w:sz w:val="26"/>
                <w:lang w:val="vi-VN"/>
              </w:rPr>
            </w:pPr>
          </w:p>
        </w:tc>
      </w:tr>
      <w:tr w:rsidR="00973962" w:rsidRPr="0061172E" w:rsidTr="00E9173C">
        <w:trPr>
          <w:trHeight w:val="600"/>
        </w:trPr>
        <w:tc>
          <w:tcPr>
            <w:tcW w:w="851" w:type="dxa"/>
            <w:vMerge w:val="restart"/>
            <w:vAlign w:val="center"/>
          </w:tcPr>
          <w:p w:rsidR="00973962" w:rsidRPr="0061172E" w:rsidRDefault="00973962" w:rsidP="00E9173C">
            <w:pPr>
              <w:spacing w:after="120" w:line="234" w:lineRule="atLeast"/>
              <w:jc w:val="center"/>
              <w:rPr>
                <w:b/>
                <w:sz w:val="26"/>
              </w:rPr>
            </w:pPr>
            <w:r w:rsidRPr="0061172E">
              <w:rPr>
                <w:b/>
                <w:sz w:val="26"/>
              </w:rPr>
              <w:t>Bước 2</w:t>
            </w:r>
          </w:p>
        </w:tc>
        <w:tc>
          <w:tcPr>
            <w:tcW w:w="2376" w:type="dxa"/>
            <w:vMerge w:val="restart"/>
            <w:vAlign w:val="center"/>
          </w:tcPr>
          <w:p w:rsidR="00973962" w:rsidRPr="0061172E" w:rsidRDefault="00973962" w:rsidP="00E9173C">
            <w:pPr>
              <w:spacing w:before="120" w:after="120"/>
              <w:jc w:val="both"/>
              <w:rPr>
                <w:sz w:val="26"/>
              </w:rPr>
            </w:pPr>
            <w:r w:rsidRPr="0061172E">
              <w:rPr>
                <w:b/>
                <w:sz w:val="26"/>
              </w:rPr>
              <w:t>Tiếp nhận và chuyển hồ sơ thủ tục hành chính</w:t>
            </w:r>
          </w:p>
        </w:tc>
        <w:tc>
          <w:tcPr>
            <w:tcW w:w="4252" w:type="dxa"/>
          </w:tcPr>
          <w:p w:rsidR="00973962" w:rsidRPr="0061172E" w:rsidRDefault="00973962" w:rsidP="00E9173C">
            <w:pPr>
              <w:shd w:val="clear" w:color="auto" w:fill="FFFFFF"/>
              <w:spacing w:after="120" w:line="234" w:lineRule="atLeast"/>
              <w:ind w:firstLine="488"/>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rsidR="00973962" w:rsidRPr="0061172E" w:rsidRDefault="00973962" w:rsidP="00E9173C">
            <w:pPr>
              <w:shd w:val="clear" w:color="auto" w:fill="FFFFFF"/>
              <w:spacing w:after="120" w:line="234" w:lineRule="atLeast"/>
              <w:ind w:firstLine="488"/>
              <w:jc w:val="both"/>
              <w:rPr>
                <w:sz w:val="26"/>
              </w:rPr>
            </w:pPr>
            <w:r w:rsidRPr="0061172E">
              <w:rPr>
                <w:sz w:val="26"/>
              </w:rPr>
              <w:t xml:space="preserve">a) Trường hợp hồ sơ chưa đầy đủ, chưa chính xác theo quy định, cán bộ, công chức, viên chức tiếp nhận hồ sơ phải hướng dẫn cá nhân bổ sung, hoàn thiện hồ sơ theo quy định và nêu rõ lý do theo mẫu Phiếu yêu cầu bổ sung, hoàn thiện hồ sơ; </w:t>
            </w:r>
          </w:p>
          <w:p w:rsidR="00973962" w:rsidRPr="0061172E" w:rsidRDefault="00973962" w:rsidP="00E9173C">
            <w:pPr>
              <w:shd w:val="clear" w:color="auto" w:fill="FFFFFF"/>
              <w:spacing w:after="120" w:line="234" w:lineRule="atLeast"/>
              <w:ind w:firstLine="488"/>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rsidR="00973962" w:rsidRPr="0061172E" w:rsidRDefault="00973962" w:rsidP="00E9173C">
            <w:pPr>
              <w:spacing w:before="120" w:after="120"/>
              <w:ind w:firstLine="488"/>
              <w:jc w:val="both"/>
              <w:rPr>
                <w:sz w:val="26"/>
              </w:rPr>
            </w:pPr>
            <w:r w:rsidRPr="0061172E">
              <w:rPr>
                <w:sz w:val="26"/>
              </w:rPr>
              <w:t xml:space="preserve">c) Trường hợp hồ sơ đầy đủ, chính xác theo quy định, cán bộ, công chức, viên chức tiếp nhận hồ sơ và lập Giấy tiếp nhận hồ sơ và hẹn ngày trả kết quả; </w:t>
            </w:r>
            <w:r w:rsidRPr="0061172E">
              <w:rPr>
                <w:sz w:val="26"/>
              </w:rPr>
              <w:lastRenderedPageBreak/>
              <w:t>đồng thời, chuyển cho cơ quan có thẩm quyền để giải quyết theo quy trình.</w:t>
            </w:r>
          </w:p>
        </w:tc>
        <w:tc>
          <w:tcPr>
            <w:tcW w:w="2127" w:type="dxa"/>
            <w:vAlign w:val="center"/>
          </w:tcPr>
          <w:p w:rsidR="00973962" w:rsidRPr="0061172E" w:rsidRDefault="00973962" w:rsidP="00E9173C">
            <w:pPr>
              <w:spacing w:after="120" w:line="234" w:lineRule="atLeast"/>
              <w:jc w:val="both"/>
              <w:rPr>
                <w:b/>
                <w:sz w:val="26"/>
              </w:rPr>
            </w:pPr>
            <w:r w:rsidRPr="0061172E">
              <w:rPr>
                <w:sz w:val="26"/>
              </w:rPr>
              <w:lastRenderedPageBreak/>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992" w:type="dxa"/>
            <w:vMerge w:val="restart"/>
            <w:vAlign w:val="center"/>
          </w:tcPr>
          <w:p w:rsidR="00973962" w:rsidRPr="0061172E" w:rsidRDefault="00973962" w:rsidP="00E9173C">
            <w:pPr>
              <w:jc w:val="center"/>
              <w:rPr>
                <w:i/>
                <w:sz w:val="26"/>
                <w:lang w:val="vi-VN"/>
              </w:rPr>
            </w:pPr>
          </w:p>
        </w:tc>
      </w:tr>
      <w:tr w:rsidR="00973962" w:rsidRPr="0061172E" w:rsidTr="00E9173C">
        <w:trPr>
          <w:trHeight w:val="600"/>
        </w:trPr>
        <w:tc>
          <w:tcPr>
            <w:tcW w:w="851" w:type="dxa"/>
            <w:vMerge/>
          </w:tcPr>
          <w:p w:rsidR="00973962" w:rsidRPr="0061172E" w:rsidRDefault="00973962" w:rsidP="00E9173C">
            <w:pPr>
              <w:spacing w:after="120" w:line="234" w:lineRule="atLeast"/>
              <w:jc w:val="both"/>
              <w:rPr>
                <w:b/>
                <w:sz w:val="26"/>
              </w:rPr>
            </w:pPr>
          </w:p>
        </w:tc>
        <w:tc>
          <w:tcPr>
            <w:tcW w:w="2376" w:type="dxa"/>
            <w:vMerge/>
          </w:tcPr>
          <w:p w:rsidR="00973962" w:rsidRPr="0061172E" w:rsidRDefault="00973962" w:rsidP="00E9173C">
            <w:pPr>
              <w:spacing w:before="120" w:after="120"/>
              <w:jc w:val="both"/>
              <w:rPr>
                <w:b/>
                <w:sz w:val="26"/>
              </w:rPr>
            </w:pPr>
          </w:p>
        </w:tc>
        <w:tc>
          <w:tcPr>
            <w:tcW w:w="4252" w:type="dxa"/>
          </w:tcPr>
          <w:p w:rsidR="00973962" w:rsidRPr="0061172E" w:rsidRDefault="00973962" w:rsidP="00E9173C">
            <w:pPr>
              <w:shd w:val="clear" w:color="auto" w:fill="FFFFFF"/>
              <w:spacing w:after="120" w:line="234" w:lineRule="atLeast"/>
              <w:ind w:firstLine="488"/>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tiếp nhận và trả kết quả</w:t>
            </w:r>
            <w:r w:rsidRPr="0061172E">
              <w:rPr>
                <w:sz w:val="26"/>
              </w:rPr>
              <w:t xml:space="preserve"> phải xem xét, kiểm tra tính chính xác, đầy đủ của hồ sơ. </w:t>
            </w:r>
          </w:p>
          <w:p w:rsidR="00973962" w:rsidRPr="0061172E" w:rsidRDefault="00973962" w:rsidP="00E9173C">
            <w:pPr>
              <w:shd w:val="clear" w:color="auto" w:fill="FFFFFF"/>
              <w:spacing w:after="120" w:line="234" w:lineRule="atLeast"/>
              <w:ind w:firstLine="488"/>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973962" w:rsidRPr="0061172E" w:rsidRDefault="00973962" w:rsidP="00E9173C">
            <w:pPr>
              <w:spacing w:after="120" w:line="234" w:lineRule="atLeast"/>
              <w:ind w:firstLine="488"/>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127" w:type="dxa"/>
            <w:vAlign w:val="center"/>
          </w:tcPr>
          <w:p w:rsidR="00973962" w:rsidRPr="0061172E" w:rsidRDefault="00973962" w:rsidP="00E9173C">
            <w:pPr>
              <w:spacing w:after="120" w:line="234" w:lineRule="atLeast"/>
              <w:jc w:val="center"/>
              <w:rPr>
                <w:sz w:val="26"/>
              </w:rPr>
            </w:pPr>
            <w:r w:rsidRPr="0061172E">
              <w:rPr>
                <w:sz w:val="26"/>
              </w:rPr>
              <w:t>Không quá 02 ngày kể từ ngày phát sinh hồ sơ trực tuyến</w:t>
            </w:r>
          </w:p>
        </w:tc>
        <w:tc>
          <w:tcPr>
            <w:tcW w:w="992" w:type="dxa"/>
            <w:vMerge/>
          </w:tcPr>
          <w:p w:rsidR="00973962" w:rsidRPr="0061172E" w:rsidRDefault="00973962" w:rsidP="00E9173C">
            <w:pPr>
              <w:spacing w:after="120" w:line="234" w:lineRule="atLeast"/>
              <w:jc w:val="both"/>
              <w:rPr>
                <w:b/>
                <w:sz w:val="26"/>
              </w:rPr>
            </w:pPr>
          </w:p>
        </w:tc>
      </w:tr>
      <w:tr w:rsidR="00973962" w:rsidRPr="0061172E" w:rsidTr="00E9173C">
        <w:tc>
          <w:tcPr>
            <w:tcW w:w="851" w:type="dxa"/>
            <w:vMerge w:val="restart"/>
            <w:vAlign w:val="center"/>
          </w:tcPr>
          <w:p w:rsidR="00973962" w:rsidRPr="0061172E" w:rsidRDefault="00973962" w:rsidP="00E9173C">
            <w:pPr>
              <w:spacing w:after="120" w:line="234" w:lineRule="atLeast"/>
              <w:jc w:val="center"/>
              <w:rPr>
                <w:b/>
                <w:sz w:val="26"/>
              </w:rPr>
            </w:pPr>
            <w:r w:rsidRPr="0061172E">
              <w:rPr>
                <w:b/>
                <w:sz w:val="26"/>
              </w:rPr>
              <w:t>Bước 3</w:t>
            </w:r>
          </w:p>
        </w:tc>
        <w:tc>
          <w:tcPr>
            <w:tcW w:w="2376" w:type="dxa"/>
            <w:vMerge w:val="restart"/>
            <w:vAlign w:val="center"/>
          </w:tcPr>
          <w:p w:rsidR="00973962" w:rsidRPr="0061172E" w:rsidRDefault="00973962" w:rsidP="00E9173C">
            <w:pPr>
              <w:spacing w:after="120" w:line="234" w:lineRule="atLeast"/>
              <w:jc w:val="both"/>
              <w:rPr>
                <w:b/>
                <w:sz w:val="26"/>
              </w:rPr>
            </w:pPr>
            <w:r w:rsidRPr="0061172E">
              <w:rPr>
                <w:b/>
                <w:bCs/>
                <w:sz w:val="26"/>
              </w:rPr>
              <w:t>Giải quyết thủ tục hành chính</w:t>
            </w:r>
          </w:p>
        </w:tc>
        <w:tc>
          <w:tcPr>
            <w:tcW w:w="4252" w:type="dxa"/>
          </w:tcPr>
          <w:p w:rsidR="00973962" w:rsidRPr="0061172E" w:rsidRDefault="00973962" w:rsidP="00E9173C">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xử lý xem xét, thẩm định hồ sơ, trình phê duyệt kết quả giải quyết thủ tục hành chính:</w:t>
            </w:r>
          </w:p>
          <w:p w:rsidR="00973962" w:rsidRPr="0061172E" w:rsidRDefault="00973962" w:rsidP="00E9173C">
            <w:pPr>
              <w:shd w:val="clear" w:color="auto" w:fill="F9F9F9"/>
              <w:spacing w:before="120"/>
              <w:jc w:val="both"/>
              <w:rPr>
                <w:sz w:val="26"/>
              </w:rPr>
            </w:pPr>
            <w:r w:rsidRPr="0061172E">
              <w:rPr>
                <w:sz w:val="26"/>
              </w:rPr>
              <w:t>- Đối với bảo tàng cấp tỉnh và bảo tàng ngoài công lập, người đứng đầu bảo tàng phải gửi văn bản đề nghị và hồ sơ xếp hạng bảo tàng đến Giám đốc Sở Văn hóa, Thể thao và Du lịch.</w:t>
            </w:r>
          </w:p>
          <w:p w:rsidR="00973962" w:rsidRPr="0061172E" w:rsidRDefault="00973962" w:rsidP="00E9173C">
            <w:pPr>
              <w:shd w:val="clear" w:color="auto" w:fill="F9F9F9"/>
              <w:spacing w:before="120"/>
              <w:ind w:firstLine="4"/>
              <w:jc w:val="both"/>
              <w:rPr>
                <w:sz w:val="26"/>
              </w:rPr>
            </w:pPr>
            <w:r w:rsidRPr="0061172E">
              <w:rPr>
                <w:sz w:val="26"/>
              </w:rPr>
              <w:t xml:space="preserve">- Trong thời hạn 30 ngày, kể từ ngày nhận được văn bản đề nghị và hồ sơ xếp hạng bảo tàng, người đứng đầu cơ quan, tổ chức chủ quản trực tiếp của bảo tàng chuyên ngành thuộc các đơn vị trực thuộc Bộ, ngành, tổ chức chính trị, tổ chức chính trị - xã hội ở trung </w:t>
            </w:r>
            <w:r w:rsidRPr="0061172E">
              <w:rPr>
                <w:sz w:val="26"/>
              </w:rPr>
              <w:lastRenderedPageBreak/>
              <w:t>ương có trách nhiệm xem xét, quyết định việc gửi văn bản đề nghị và hồ sơ xếp hạng bảo tàng đến Bộ trưởng, người đứng đầu ngành, tổ chức chính trị, tổ chức chính trị - xã hội ở trung ương; Giám đốc Sở Văn hóa, Thể thao và Du lịch có trách nhiệm xem xét, quyết định việc gửi văn bản đề nghị và hồ sơ xếp hạng bảo tàng đến Chủ tịch Ủy ban nhân dân cấp tỉnh.</w:t>
            </w:r>
          </w:p>
          <w:p w:rsidR="00973962" w:rsidRPr="0061172E" w:rsidRDefault="00973962" w:rsidP="00E9173C">
            <w:pPr>
              <w:shd w:val="clear" w:color="auto" w:fill="F9F9F9"/>
              <w:spacing w:before="120"/>
              <w:jc w:val="both"/>
              <w:rPr>
                <w:sz w:val="26"/>
              </w:rPr>
            </w:pPr>
            <w:r w:rsidRPr="0061172E">
              <w:rPr>
                <w:sz w:val="26"/>
              </w:rPr>
              <w:t>- Trong thời hạn 30 ngày, kể từ ngày nhận được văn bản đề nghị và hồ sơ xếp hạng bảo tàng, Bộ trưởng, người đứng đầu ngành, tổ chức chính trị, tổ chức chính trị - xã hội ở trung ương hoặc Chủ tịch Ủy ban nhân dân cấp tỉnh có trách nhiệm tổ chức thẩm định việc xếp hạng bảo tàng.</w:t>
            </w:r>
          </w:p>
          <w:p w:rsidR="00973962" w:rsidRPr="0061172E" w:rsidRDefault="00973962" w:rsidP="00E9173C">
            <w:pPr>
              <w:shd w:val="clear" w:color="auto" w:fill="F9F9F9"/>
              <w:spacing w:before="120"/>
              <w:ind w:firstLine="4"/>
              <w:jc w:val="both"/>
              <w:rPr>
                <w:sz w:val="26"/>
              </w:rPr>
            </w:pPr>
            <w:r w:rsidRPr="0061172E">
              <w:rPr>
                <w:sz w:val="26"/>
              </w:rPr>
              <w:t>- Trong thời hạn 30 ngày, kể từ ngày có kết quả thẩm định, Bộ trưởng, người đứng đầu ngành, tổ chức chính trị, tổ chức chính trị - xã hội ở trung ương hoặc Chủ tịch Ủy ban nhân dân cấp tỉnh có trách nhiệm gửi văn bản đề nghị và hồ sơ xếp hạng bảo tàng đến Bộ trưởng Bộ Văn hóa, Thể thao và Du lịch.</w:t>
            </w:r>
          </w:p>
          <w:p w:rsidR="00973962" w:rsidRPr="0061172E" w:rsidRDefault="00973962" w:rsidP="00E9173C">
            <w:pPr>
              <w:shd w:val="clear" w:color="auto" w:fill="F9F9F9"/>
              <w:spacing w:before="120"/>
              <w:ind w:firstLine="4"/>
              <w:jc w:val="both"/>
              <w:rPr>
                <w:sz w:val="26"/>
              </w:rPr>
            </w:pPr>
            <w:r w:rsidRPr="0061172E">
              <w:rPr>
                <w:sz w:val="26"/>
              </w:rPr>
              <w:t>- Trong thời hạn 30 ngày, kể từ ngày nhận được văn bản đề nghị và hồ sơ xếp hạng bảo tàng, Bộ trưởng Bộ Văn hóa, Thể thao và Du lịch có trách nhiệm xem xét, thỏa thuận.</w:t>
            </w:r>
          </w:p>
          <w:p w:rsidR="00973962" w:rsidRPr="0061172E" w:rsidRDefault="00973962" w:rsidP="00E9173C">
            <w:pPr>
              <w:shd w:val="clear" w:color="auto" w:fill="F9F9F9"/>
              <w:spacing w:before="120"/>
              <w:jc w:val="both"/>
              <w:rPr>
                <w:sz w:val="26"/>
              </w:rPr>
            </w:pPr>
          </w:p>
          <w:p w:rsidR="00973962" w:rsidRPr="0061172E" w:rsidRDefault="00973962" w:rsidP="00E9173C">
            <w:pPr>
              <w:shd w:val="clear" w:color="auto" w:fill="F9F9F9"/>
              <w:spacing w:before="120"/>
              <w:jc w:val="both"/>
              <w:rPr>
                <w:sz w:val="26"/>
              </w:rPr>
            </w:pPr>
            <w:r w:rsidRPr="0061172E">
              <w:rPr>
                <w:sz w:val="26"/>
              </w:rPr>
              <w:t>- Trong thời hạn 30 ngày, kể từ ngày có ý kiến đồng ý bằng văn bản của Bộ trưởng Bộ Văn hóa, Thể thao và Du lịch, Bộ trưởng, người đứng đầu ngành, tổ chức chính trị, tổ chức chính trị - xã hội ở trung ương hoặc Chủ tịch Ủy ban nhân dân cấp tỉnh có trách nhiệm ra quyết định xếp hạng bảo tàng.</w:t>
            </w:r>
          </w:p>
        </w:tc>
        <w:tc>
          <w:tcPr>
            <w:tcW w:w="2127" w:type="dxa"/>
            <w:vAlign w:val="center"/>
          </w:tcPr>
          <w:p w:rsidR="00973962" w:rsidRPr="0061172E" w:rsidRDefault="00973962" w:rsidP="00E9173C">
            <w:pPr>
              <w:spacing w:after="120" w:line="234" w:lineRule="atLeast"/>
              <w:jc w:val="center"/>
              <w:rPr>
                <w:sz w:val="26"/>
              </w:rPr>
            </w:pPr>
            <w:r w:rsidRPr="0061172E">
              <w:rPr>
                <w:b/>
                <w:sz w:val="26"/>
              </w:rPr>
              <w:lastRenderedPageBreak/>
              <w:t>Thời gian thực hiện TTHC là 150 ngày</w:t>
            </w:r>
            <w:r w:rsidRPr="0061172E">
              <w:rPr>
                <w:sz w:val="26"/>
              </w:rPr>
              <w:t>.</w:t>
            </w:r>
          </w:p>
          <w:p w:rsidR="00973962" w:rsidRPr="0061172E" w:rsidRDefault="00973962" w:rsidP="00E9173C">
            <w:pPr>
              <w:spacing w:after="120" w:line="234" w:lineRule="atLeast"/>
              <w:jc w:val="center"/>
              <w:rPr>
                <w:b/>
                <w:sz w:val="26"/>
              </w:rPr>
            </w:pPr>
            <w:r w:rsidRPr="0061172E">
              <w:rPr>
                <w:sz w:val="26"/>
              </w:rPr>
              <w:t xml:space="preserve"> </w:t>
            </w:r>
            <w:r w:rsidRPr="0061172E">
              <w:rPr>
                <w:b/>
                <w:sz w:val="26"/>
              </w:rPr>
              <w:t>Thẩm quyền xử lý của Sở VHTTDL là 30 ngày</w:t>
            </w:r>
            <w:r w:rsidRPr="0061172E">
              <w:rPr>
                <w:sz w:val="26"/>
              </w:rPr>
              <w:t xml:space="preserve">,  trong đó: </w:t>
            </w:r>
          </w:p>
        </w:tc>
        <w:tc>
          <w:tcPr>
            <w:tcW w:w="992" w:type="dxa"/>
            <w:vAlign w:val="center"/>
          </w:tcPr>
          <w:p w:rsidR="00973962" w:rsidRPr="0061172E" w:rsidRDefault="00973962" w:rsidP="00E9173C">
            <w:pPr>
              <w:shd w:val="clear" w:color="auto" w:fill="F9F9F9"/>
              <w:spacing w:before="120"/>
              <w:ind w:firstLine="4"/>
              <w:jc w:val="both"/>
              <w:rPr>
                <w:b/>
                <w:sz w:val="26"/>
              </w:rPr>
            </w:pPr>
          </w:p>
        </w:tc>
      </w:tr>
      <w:tr w:rsidR="00973962" w:rsidRPr="0061172E" w:rsidTr="00E9173C">
        <w:tc>
          <w:tcPr>
            <w:tcW w:w="851" w:type="dxa"/>
            <w:vMerge/>
          </w:tcPr>
          <w:p w:rsidR="00973962" w:rsidRPr="0061172E" w:rsidRDefault="00973962" w:rsidP="00E9173C">
            <w:pPr>
              <w:spacing w:after="120" w:line="234" w:lineRule="atLeast"/>
              <w:jc w:val="both"/>
              <w:rPr>
                <w:b/>
                <w:sz w:val="26"/>
              </w:rPr>
            </w:pPr>
          </w:p>
        </w:tc>
        <w:tc>
          <w:tcPr>
            <w:tcW w:w="2376" w:type="dxa"/>
            <w:vMerge/>
          </w:tcPr>
          <w:p w:rsidR="00973962" w:rsidRPr="0061172E" w:rsidRDefault="00973962" w:rsidP="00E9173C">
            <w:pPr>
              <w:spacing w:after="120" w:line="234" w:lineRule="atLeast"/>
              <w:jc w:val="both"/>
              <w:rPr>
                <w:b/>
                <w:sz w:val="26"/>
              </w:rPr>
            </w:pPr>
          </w:p>
        </w:tc>
        <w:tc>
          <w:tcPr>
            <w:tcW w:w="4252" w:type="dxa"/>
          </w:tcPr>
          <w:p w:rsidR="00973962" w:rsidRPr="0061172E" w:rsidRDefault="00973962" w:rsidP="00E9173C">
            <w:pPr>
              <w:shd w:val="clear" w:color="auto" w:fill="FFFFFF"/>
              <w:spacing w:after="120" w:line="234" w:lineRule="atLeast"/>
              <w:ind w:firstLine="488"/>
              <w:jc w:val="both"/>
              <w:rPr>
                <w:bCs/>
                <w:i/>
                <w:sz w:val="26"/>
              </w:rPr>
            </w:pPr>
            <w:r w:rsidRPr="0061172E">
              <w:rPr>
                <w:bCs/>
                <w:i/>
                <w:sz w:val="26"/>
              </w:rPr>
              <w:t>1. Tiếp nhận hồ sơ (Bộ phận TN&amp;TKQ)</w:t>
            </w:r>
          </w:p>
        </w:tc>
        <w:tc>
          <w:tcPr>
            <w:tcW w:w="2127" w:type="dxa"/>
            <w:vAlign w:val="center"/>
          </w:tcPr>
          <w:p w:rsidR="00973962" w:rsidRPr="0061172E" w:rsidRDefault="00973962" w:rsidP="00E9173C">
            <w:pPr>
              <w:spacing w:after="120" w:line="234" w:lineRule="atLeast"/>
              <w:jc w:val="center"/>
              <w:rPr>
                <w:b/>
                <w:sz w:val="26"/>
              </w:rPr>
            </w:pPr>
            <w:r w:rsidRPr="0061172E">
              <w:rPr>
                <w:bCs/>
                <w:i/>
                <w:sz w:val="26"/>
              </w:rPr>
              <w:t>01  ngày</w:t>
            </w:r>
          </w:p>
        </w:tc>
        <w:tc>
          <w:tcPr>
            <w:tcW w:w="992" w:type="dxa"/>
          </w:tcPr>
          <w:p w:rsidR="00973962" w:rsidRPr="0061172E" w:rsidRDefault="00973962" w:rsidP="00E9173C">
            <w:pPr>
              <w:spacing w:after="120" w:line="234" w:lineRule="atLeast"/>
              <w:jc w:val="both"/>
              <w:rPr>
                <w:b/>
                <w:sz w:val="26"/>
              </w:rPr>
            </w:pPr>
          </w:p>
        </w:tc>
      </w:tr>
      <w:tr w:rsidR="00973962" w:rsidRPr="0061172E" w:rsidTr="00E9173C">
        <w:tc>
          <w:tcPr>
            <w:tcW w:w="851" w:type="dxa"/>
            <w:vMerge/>
          </w:tcPr>
          <w:p w:rsidR="00973962" w:rsidRPr="0061172E" w:rsidRDefault="00973962" w:rsidP="00E9173C">
            <w:pPr>
              <w:spacing w:after="120" w:line="234" w:lineRule="atLeast"/>
              <w:jc w:val="both"/>
              <w:rPr>
                <w:b/>
                <w:sz w:val="26"/>
              </w:rPr>
            </w:pPr>
          </w:p>
        </w:tc>
        <w:tc>
          <w:tcPr>
            <w:tcW w:w="2376" w:type="dxa"/>
            <w:vMerge/>
          </w:tcPr>
          <w:p w:rsidR="00973962" w:rsidRPr="0061172E" w:rsidRDefault="00973962" w:rsidP="00E9173C">
            <w:pPr>
              <w:spacing w:after="120" w:line="234" w:lineRule="atLeast"/>
              <w:jc w:val="both"/>
              <w:rPr>
                <w:b/>
                <w:sz w:val="26"/>
              </w:rPr>
            </w:pPr>
          </w:p>
        </w:tc>
        <w:tc>
          <w:tcPr>
            <w:tcW w:w="4252" w:type="dxa"/>
          </w:tcPr>
          <w:p w:rsidR="00973962" w:rsidRPr="0061172E" w:rsidRDefault="00973962" w:rsidP="00E9173C">
            <w:pPr>
              <w:shd w:val="clear" w:color="auto" w:fill="FFFFFF"/>
              <w:spacing w:after="120" w:line="234" w:lineRule="atLeast"/>
              <w:ind w:firstLine="488"/>
              <w:jc w:val="both"/>
              <w:rPr>
                <w:b/>
                <w:sz w:val="26"/>
              </w:rPr>
            </w:pPr>
            <w:r w:rsidRPr="0061172E">
              <w:rPr>
                <w:bCs/>
                <w:i/>
                <w:sz w:val="26"/>
              </w:rPr>
              <w:t>2. Giải quyết hồ sơ (cơ quan/bộ phận chuyên môn), t</w:t>
            </w:r>
            <w:r w:rsidRPr="0061172E">
              <w:rPr>
                <w:i/>
                <w:sz w:val="26"/>
              </w:rPr>
              <w:t>rong đó:</w:t>
            </w:r>
          </w:p>
        </w:tc>
        <w:tc>
          <w:tcPr>
            <w:tcW w:w="2127" w:type="dxa"/>
            <w:vAlign w:val="center"/>
          </w:tcPr>
          <w:p w:rsidR="00973962" w:rsidRPr="0061172E" w:rsidRDefault="00973962" w:rsidP="00E9173C">
            <w:pPr>
              <w:spacing w:after="120" w:line="234" w:lineRule="atLeast"/>
              <w:jc w:val="center"/>
              <w:rPr>
                <w:b/>
                <w:sz w:val="26"/>
              </w:rPr>
            </w:pPr>
            <w:r w:rsidRPr="0061172E">
              <w:rPr>
                <w:bCs/>
                <w:i/>
                <w:sz w:val="26"/>
              </w:rPr>
              <w:t xml:space="preserve">26 ngày </w:t>
            </w:r>
          </w:p>
        </w:tc>
        <w:tc>
          <w:tcPr>
            <w:tcW w:w="992" w:type="dxa"/>
          </w:tcPr>
          <w:p w:rsidR="00973962" w:rsidRPr="0061172E" w:rsidRDefault="00973962" w:rsidP="00E9173C">
            <w:pPr>
              <w:spacing w:after="120" w:line="234" w:lineRule="atLeast"/>
              <w:jc w:val="both"/>
              <w:rPr>
                <w:b/>
                <w:sz w:val="26"/>
              </w:rPr>
            </w:pPr>
          </w:p>
        </w:tc>
      </w:tr>
      <w:tr w:rsidR="00973962" w:rsidRPr="0061172E" w:rsidTr="00E9173C">
        <w:tc>
          <w:tcPr>
            <w:tcW w:w="851" w:type="dxa"/>
            <w:vMerge/>
          </w:tcPr>
          <w:p w:rsidR="00973962" w:rsidRPr="0061172E" w:rsidRDefault="00973962" w:rsidP="00E9173C">
            <w:pPr>
              <w:spacing w:after="120" w:line="234" w:lineRule="atLeast"/>
              <w:jc w:val="both"/>
              <w:rPr>
                <w:b/>
                <w:sz w:val="26"/>
              </w:rPr>
            </w:pPr>
          </w:p>
        </w:tc>
        <w:tc>
          <w:tcPr>
            <w:tcW w:w="2376" w:type="dxa"/>
            <w:vMerge/>
          </w:tcPr>
          <w:p w:rsidR="00973962" w:rsidRPr="0061172E" w:rsidRDefault="00973962" w:rsidP="00E9173C">
            <w:pPr>
              <w:spacing w:after="120" w:line="234" w:lineRule="atLeast"/>
              <w:jc w:val="both"/>
              <w:rPr>
                <w:b/>
                <w:sz w:val="26"/>
              </w:rPr>
            </w:pPr>
          </w:p>
        </w:tc>
        <w:tc>
          <w:tcPr>
            <w:tcW w:w="4252" w:type="dxa"/>
          </w:tcPr>
          <w:p w:rsidR="00973962" w:rsidRPr="0061172E" w:rsidRDefault="00973962" w:rsidP="00E9173C">
            <w:pPr>
              <w:spacing w:after="120" w:line="234" w:lineRule="atLeast"/>
              <w:ind w:firstLine="488"/>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127" w:type="dxa"/>
            <w:vAlign w:val="center"/>
          </w:tcPr>
          <w:p w:rsidR="00973962" w:rsidRPr="0061172E" w:rsidRDefault="00973962" w:rsidP="00E9173C">
            <w:pPr>
              <w:spacing w:after="120" w:line="234" w:lineRule="atLeast"/>
              <w:jc w:val="center"/>
              <w:rPr>
                <w:b/>
                <w:sz w:val="26"/>
              </w:rPr>
            </w:pPr>
            <w:r w:rsidRPr="0061172E">
              <w:rPr>
                <w:bCs/>
                <w:i/>
                <w:sz w:val="26"/>
              </w:rPr>
              <w:t>26  ngày</w:t>
            </w:r>
          </w:p>
        </w:tc>
        <w:tc>
          <w:tcPr>
            <w:tcW w:w="992" w:type="dxa"/>
          </w:tcPr>
          <w:p w:rsidR="00973962" w:rsidRPr="0061172E" w:rsidRDefault="00973962" w:rsidP="00E9173C">
            <w:pPr>
              <w:spacing w:after="120" w:line="234" w:lineRule="atLeast"/>
              <w:jc w:val="both"/>
              <w:rPr>
                <w:b/>
                <w:sz w:val="26"/>
              </w:rPr>
            </w:pPr>
          </w:p>
        </w:tc>
      </w:tr>
      <w:tr w:rsidR="00973962" w:rsidRPr="0061172E" w:rsidTr="00E9173C">
        <w:tc>
          <w:tcPr>
            <w:tcW w:w="851" w:type="dxa"/>
            <w:vMerge/>
          </w:tcPr>
          <w:p w:rsidR="00973962" w:rsidRPr="0061172E" w:rsidRDefault="00973962" w:rsidP="00E9173C">
            <w:pPr>
              <w:spacing w:after="120" w:line="234" w:lineRule="atLeast"/>
              <w:jc w:val="both"/>
              <w:rPr>
                <w:b/>
                <w:sz w:val="26"/>
              </w:rPr>
            </w:pPr>
          </w:p>
        </w:tc>
        <w:tc>
          <w:tcPr>
            <w:tcW w:w="2376" w:type="dxa"/>
            <w:vMerge/>
          </w:tcPr>
          <w:p w:rsidR="00973962" w:rsidRPr="0061172E" w:rsidRDefault="00973962" w:rsidP="00E9173C">
            <w:pPr>
              <w:spacing w:after="120" w:line="234" w:lineRule="atLeast"/>
              <w:jc w:val="both"/>
              <w:rPr>
                <w:b/>
                <w:sz w:val="26"/>
              </w:rPr>
            </w:pPr>
          </w:p>
        </w:tc>
        <w:tc>
          <w:tcPr>
            <w:tcW w:w="4252" w:type="dxa"/>
          </w:tcPr>
          <w:p w:rsidR="00973962" w:rsidRPr="0061172E" w:rsidRDefault="00973962" w:rsidP="00E9173C">
            <w:pPr>
              <w:shd w:val="clear" w:color="auto" w:fill="FFFFFF"/>
              <w:spacing w:after="120" w:line="234" w:lineRule="atLeast"/>
              <w:ind w:firstLine="488"/>
              <w:jc w:val="both"/>
              <w:rPr>
                <w:bCs/>
                <w:i/>
                <w:sz w:val="26"/>
              </w:rPr>
            </w:pPr>
            <w:r w:rsidRPr="0061172E">
              <w:rPr>
                <w:bCs/>
                <w:i/>
                <w:sz w:val="26"/>
              </w:rPr>
              <w:t xml:space="preserve">+ Chuyên viên </w:t>
            </w:r>
          </w:p>
          <w:p w:rsidR="00973962" w:rsidRPr="0061172E" w:rsidRDefault="00973962" w:rsidP="00E9173C">
            <w:pPr>
              <w:shd w:val="clear" w:color="auto" w:fill="FFFFFF"/>
              <w:spacing w:after="120" w:line="234" w:lineRule="atLeast"/>
              <w:ind w:firstLine="488"/>
              <w:jc w:val="both"/>
              <w:rPr>
                <w:bCs/>
                <w:i/>
                <w:sz w:val="26"/>
              </w:rPr>
            </w:pPr>
            <w:r w:rsidRPr="0061172E">
              <w:rPr>
                <w:bCs/>
                <w:i/>
                <w:sz w:val="26"/>
              </w:rPr>
              <w:t>+ Lãnh đạo phòng/bộ phận</w:t>
            </w:r>
          </w:p>
          <w:p w:rsidR="00973962" w:rsidRPr="0061172E" w:rsidRDefault="00973962" w:rsidP="00E9173C">
            <w:pPr>
              <w:shd w:val="clear" w:color="auto" w:fill="FFFFFF"/>
              <w:spacing w:after="120" w:line="234" w:lineRule="atLeast"/>
              <w:ind w:firstLine="488"/>
              <w:jc w:val="both"/>
              <w:rPr>
                <w:bCs/>
                <w:i/>
                <w:sz w:val="26"/>
              </w:rPr>
            </w:pPr>
            <w:r w:rsidRPr="0061172E">
              <w:rPr>
                <w:bCs/>
                <w:i/>
                <w:sz w:val="26"/>
              </w:rPr>
              <w:t xml:space="preserve">+ Lãnh đạo đơn vị: 03 ngày </w:t>
            </w:r>
          </w:p>
          <w:p w:rsidR="00973962" w:rsidRPr="0061172E" w:rsidRDefault="00973962" w:rsidP="00E9173C">
            <w:pPr>
              <w:shd w:val="clear" w:color="auto" w:fill="FFFFFF"/>
              <w:spacing w:after="120" w:line="234" w:lineRule="atLeast"/>
              <w:ind w:firstLine="488"/>
              <w:jc w:val="both"/>
              <w:rPr>
                <w:bCs/>
                <w:i/>
                <w:sz w:val="26"/>
              </w:rPr>
            </w:pPr>
            <w:r w:rsidRPr="0061172E">
              <w:rPr>
                <w:bCs/>
                <w:i/>
                <w:sz w:val="26"/>
              </w:rPr>
              <w:t xml:space="preserve">+ Văn thư đơn vị: 01 ngày </w:t>
            </w:r>
          </w:p>
          <w:p w:rsidR="00973962" w:rsidRPr="0061172E" w:rsidRDefault="00973962" w:rsidP="00E9173C">
            <w:pPr>
              <w:spacing w:after="120" w:line="234" w:lineRule="atLeast"/>
              <w:ind w:firstLine="488"/>
              <w:jc w:val="both"/>
              <w:rPr>
                <w:b/>
                <w:sz w:val="26"/>
              </w:rPr>
            </w:pPr>
          </w:p>
        </w:tc>
        <w:tc>
          <w:tcPr>
            <w:tcW w:w="2127" w:type="dxa"/>
            <w:vAlign w:val="center"/>
          </w:tcPr>
          <w:p w:rsidR="00973962" w:rsidRPr="0061172E" w:rsidRDefault="00973962" w:rsidP="00E9173C">
            <w:pPr>
              <w:spacing w:after="120" w:line="240" w:lineRule="atLeast"/>
              <w:jc w:val="center"/>
              <w:rPr>
                <w:bCs/>
                <w:i/>
                <w:sz w:val="26"/>
              </w:rPr>
            </w:pPr>
            <w:r w:rsidRPr="0061172E">
              <w:rPr>
                <w:bCs/>
                <w:i/>
                <w:sz w:val="26"/>
              </w:rPr>
              <w:t xml:space="preserve">15 ngày </w:t>
            </w:r>
          </w:p>
          <w:p w:rsidR="00973962" w:rsidRPr="0061172E" w:rsidRDefault="00973962" w:rsidP="00E9173C">
            <w:pPr>
              <w:spacing w:after="120" w:line="240" w:lineRule="atLeast"/>
              <w:jc w:val="center"/>
              <w:rPr>
                <w:bCs/>
                <w:i/>
                <w:sz w:val="26"/>
              </w:rPr>
            </w:pPr>
            <w:r w:rsidRPr="0061172E">
              <w:rPr>
                <w:bCs/>
                <w:i/>
                <w:sz w:val="26"/>
              </w:rPr>
              <w:t xml:space="preserve">03 ngày </w:t>
            </w:r>
          </w:p>
          <w:p w:rsidR="00973962" w:rsidRPr="0061172E" w:rsidRDefault="00973962" w:rsidP="00E9173C">
            <w:pPr>
              <w:spacing w:after="120" w:line="240" w:lineRule="atLeast"/>
              <w:jc w:val="center"/>
              <w:rPr>
                <w:bCs/>
                <w:i/>
                <w:sz w:val="26"/>
              </w:rPr>
            </w:pPr>
            <w:r w:rsidRPr="0061172E">
              <w:rPr>
                <w:bCs/>
                <w:i/>
                <w:sz w:val="26"/>
              </w:rPr>
              <w:t xml:space="preserve">03 ngày </w:t>
            </w:r>
          </w:p>
          <w:p w:rsidR="00973962" w:rsidRPr="0061172E" w:rsidRDefault="00973962" w:rsidP="00E9173C">
            <w:pPr>
              <w:spacing w:after="120" w:line="240" w:lineRule="atLeast"/>
              <w:jc w:val="center"/>
              <w:rPr>
                <w:bCs/>
                <w:i/>
                <w:sz w:val="26"/>
              </w:rPr>
            </w:pPr>
            <w:r w:rsidRPr="0061172E">
              <w:rPr>
                <w:bCs/>
                <w:i/>
                <w:sz w:val="26"/>
              </w:rPr>
              <w:t>0.1 ngày</w:t>
            </w:r>
          </w:p>
          <w:p w:rsidR="00973962" w:rsidRPr="0061172E" w:rsidRDefault="00973962" w:rsidP="00E9173C">
            <w:pPr>
              <w:spacing w:after="120" w:line="240" w:lineRule="atLeast"/>
              <w:jc w:val="center"/>
              <w:rPr>
                <w:b/>
                <w:sz w:val="26"/>
              </w:rPr>
            </w:pPr>
          </w:p>
        </w:tc>
        <w:tc>
          <w:tcPr>
            <w:tcW w:w="992" w:type="dxa"/>
          </w:tcPr>
          <w:p w:rsidR="00973962" w:rsidRPr="0061172E" w:rsidRDefault="00973962" w:rsidP="00E9173C">
            <w:pPr>
              <w:spacing w:after="120" w:line="234" w:lineRule="atLeast"/>
              <w:jc w:val="both"/>
              <w:rPr>
                <w:i/>
                <w:sz w:val="26"/>
              </w:rPr>
            </w:pPr>
          </w:p>
        </w:tc>
      </w:tr>
      <w:tr w:rsidR="00973962" w:rsidRPr="0061172E" w:rsidTr="00E9173C">
        <w:tc>
          <w:tcPr>
            <w:tcW w:w="851" w:type="dxa"/>
            <w:vMerge/>
          </w:tcPr>
          <w:p w:rsidR="00973962" w:rsidRPr="0061172E" w:rsidRDefault="00973962" w:rsidP="00E9173C">
            <w:pPr>
              <w:spacing w:after="120" w:line="234" w:lineRule="atLeast"/>
              <w:jc w:val="both"/>
              <w:rPr>
                <w:b/>
                <w:sz w:val="26"/>
              </w:rPr>
            </w:pPr>
          </w:p>
        </w:tc>
        <w:tc>
          <w:tcPr>
            <w:tcW w:w="2376" w:type="dxa"/>
            <w:vMerge/>
          </w:tcPr>
          <w:p w:rsidR="00973962" w:rsidRPr="0061172E" w:rsidRDefault="00973962" w:rsidP="00E9173C">
            <w:pPr>
              <w:spacing w:after="120" w:line="234" w:lineRule="atLeast"/>
              <w:jc w:val="both"/>
              <w:rPr>
                <w:b/>
                <w:sz w:val="26"/>
              </w:rPr>
            </w:pPr>
          </w:p>
        </w:tc>
        <w:tc>
          <w:tcPr>
            <w:tcW w:w="4252" w:type="dxa"/>
          </w:tcPr>
          <w:p w:rsidR="00973962" w:rsidRPr="0061172E" w:rsidRDefault="00973962" w:rsidP="00E9173C">
            <w:pPr>
              <w:spacing w:after="120" w:line="234" w:lineRule="atLeast"/>
              <w:ind w:firstLine="488"/>
              <w:jc w:val="both"/>
              <w:rPr>
                <w:sz w:val="26"/>
              </w:rPr>
            </w:pPr>
            <w:r w:rsidRPr="0061172E">
              <w:rPr>
                <w:sz w:val="26"/>
              </w:rPr>
              <w:t>- Trường hợp có quy định phải thẩm tra, xác minh hồ sơ.</w:t>
            </w:r>
          </w:p>
          <w:p w:rsidR="00973962" w:rsidRPr="0061172E" w:rsidRDefault="00973962" w:rsidP="00E9173C">
            <w:pPr>
              <w:spacing w:before="120" w:after="120"/>
              <w:ind w:firstLine="488"/>
              <w:jc w:val="both"/>
              <w:rPr>
                <w:sz w:val="26"/>
              </w:rPr>
            </w:pPr>
            <w:r w:rsidRPr="0061172E">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127" w:type="dxa"/>
            <w:vAlign w:val="center"/>
          </w:tcPr>
          <w:p w:rsidR="00973962" w:rsidRPr="0061172E" w:rsidRDefault="00973962" w:rsidP="00E9173C">
            <w:pPr>
              <w:spacing w:after="120" w:line="234" w:lineRule="atLeast"/>
              <w:jc w:val="center"/>
              <w:rPr>
                <w:b/>
                <w:sz w:val="26"/>
              </w:rPr>
            </w:pPr>
            <w:r w:rsidRPr="0061172E">
              <w:rPr>
                <w:sz w:val="26"/>
              </w:rPr>
              <w:t>Trả lại hồ sơ không quá 03 ngày làm việc</w:t>
            </w:r>
          </w:p>
        </w:tc>
        <w:tc>
          <w:tcPr>
            <w:tcW w:w="992" w:type="dxa"/>
            <w:vMerge w:val="restart"/>
            <w:vAlign w:val="center"/>
          </w:tcPr>
          <w:p w:rsidR="00973962" w:rsidRPr="0061172E" w:rsidRDefault="00973962" w:rsidP="00E9173C">
            <w:pPr>
              <w:spacing w:after="120" w:line="234" w:lineRule="atLeast"/>
              <w:jc w:val="both"/>
              <w:rPr>
                <w:b/>
                <w:i/>
                <w:sz w:val="26"/>
              </w:rPr>
            </w:pPr>
          </w:p>
        </w:tc>
      </w:tr>
      <w:tr w:rsidR="00973962" w:rsidRPr="0061172E" w:rsidTr="00E9173C">
        <w:tc>
          <w:tcPr>
            <w:tcW w:w="851" w:type="dxa"/>
            <w:vMerge/>
          </w:tcPr>
          <w:p w:rsidR="00973962" w:rsidRPr="0061172E" w:rsidRDefault="00973962" w:rsidP="00E9173C">
            <w:pPr>
              <w:spacing w:after="120" w:line="234" w:lineRule="atLeast"/>
              <w:jc w:val="both"/>
              <w:rPr>
                <w:b/>
                <w:sz w:val="26"/>
              </w:rPr>
            </w:pPr>
          </w:p>
        </w:tc>
        <w:tc>
          <w:tcPr>
            <w:tcW w:w="2376" w:type="dxa"/>
            <w:vMerge/>
          </w:tcPr>
          <w:p w:rsidR="00973962" w:rsidRPr="0061172E" w:rsidRDefault="00973962" w:rsidP="00E9173C">
            <w:pPr>
              <w:spacing w:after="120" w:line="234" w:lineRule="atLeast"/>
              <w:jc w:val="both"/>
              <w:rPr>
                <w:b/>
                <w:sz w:val="26"/>
              </w:rPr>
            </w:pPr>
          </w:p>
        </w:tc>
        <w:tc>
          <w:tcPr>
            <w:tcW w:w="4252" w:type="dxa"/>
          </w:tcPr>
          <w:p w:rsidR="00973962" w:rsidRPr="0061172E" w:rsidRDefault="00973962" w:rsidP="00E9173C">
            <w:pPr>
              <w:spacing w:after="120" w:line="234" w:lineRule="atLeast"/>
              <w:ind w:firstLine="488"/>
              <w:jc w:val="both"/>
              <w:rPr>
                <w:sz w:val="26"/>
              </w:rPr>
            </w:pPr>
            <w:r w:rsidRPr="0061172E">
              <w:rPr>
                <w:sz w:val="26"/>
              </w:rPr>
              <w:t>- Trường hợp hồ sơ phải lấy ý kiến của các cơ quan, đơn vị có liên quan</w:t>
            </w:r>
          </w:p>
        </w:tc>
        <w:tc>
          <w:tcPr>
            <w:tcW w:w="2127" w:type="dxa"/>
            <w:vAlign w:val="center"/>
          </w:tcPr>
          <w:p w:rsidR="00973962" w:rsidRPr="0061172E" w:rsidRDefault="00973962" w:rsidP="00E9173C">
            <w:pPr>
              <w:spacing w:after="120" w:line="234" w:lineRule="atLeast"/>
              <w:jc w:val="center"/>
              <w:rPr>
                <w:bCs/>
                <w:i/>
                <w:sz w:val="26"/>
              </w:rPr>
            </w:pPr>
            <w:r w:rsidRPr="0061172E">
              <w:rPr>
                <w:bCs/>
                <w:i/>
                <w:sz w:val="26"/>
              </w:rPr>
              <w:t xml:space="preserve"> 06 ngày </w:t>
            </w:r>
          </w:p>
        </w:tc>
        <w:tc>
          <w:tcPr>
            <w:tcW w:w="992" w:type="dxa"/>
            <w:vMerge/>
          </w:tcPr>
          <w:p w:rsidR="00973962" w:rsidRPr="0061172E" w:rsidRDefault="00973962" w:rsidP="00E9173C">
            <w:pPr>
              <w:spacing w:after="120" w:line="234" w:lineRule="atLeast"/>
              <w:jc w:val="both"/>
              <w:rPr>
                <w:sz w:val="26"/>
                <w:lang w:val="vi-VN"/>
              </w:rPr>
            </w:pPr>
          </w:p>
        </w:tc>
      </w:tr>
      <w:tr w:rsidR="00973962" w:rsidRPr="0061172E" w:rsidTr="00E9173C">
        <w:tc>
          <w:tcPr>
            <w:tcW w:w="851" w:type="dxa"/>
            <w:vAlign w:val="center"/>
          </w:tcPr>
          <w:p w:rsidR="00973962" w:rsidRPr="0061172E" w:rsidRDefault="00973962" w:rsidP="00E9173C">
            <w:pPr>
              <w:spacing w:after="120" w:line="234" w:lineRule="atLeast"/>
              <w:jc w:val="center"/>
              <w:rPr>
                <w:b/>
                <w:sz w:val="26"/>
              </w:rPr>
            </w:pPr>
            <w:r w:rsidRPr="0061172E">
              <w:rPr>
                <w:b/>
                <w:sz w:val="26"/>
              </w:rPr>
              <w:t>Bước 4</w:t>
            </w:r>
          </w:p>
        </w:tc>
        <w:tc>
          <w:tcPr>
            <w:tcW w:w="2376" w:type="dxa"/>
          </w:tcPr>
          <w:p w:rsidR="00973962" w:rsidRPr="0061172E" w:rsidRDefault="00973962" w:rsidP="00E9173C">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rsidR="00973962" w:rsidRPr="0061172E" w:rsidRDefault="00973962" w:rsidP="00E9173C">
            <w:pPr>
              <w:spacing w:after="120" w:line="234" w:lineRule="atLeast"/>
              <w:jc w:val="both"/>
              <w:rPr>
                <w:b/>
                <w:sz w:val="26"/>
              </w:rPr>
            </w:pPr>
            <w:r w:rsidRPr="0061172E">
              <w:rPr>
                <w:i/>
                <w:sz w:val="26"/>
              </w:rPr>
              <w:t xml:space="preserve">(Kết quả giải quyết thủ tục hành chính gửi trả cho tổ chức, cá nhân phải bảo </w:t>
            </w:r>
            <w:r w:rsidRPr="0061172E">
              <w:rPr>
                <w:i/>
                <w:sz w:val="26"/>
              </w:rPr>
              <w:lastRenderedPageBreak/>
              <w:t>đảm đầy đủ theo quy định mà cơ quan có thẩm quyền trả cho tổ chức, cá nhân sau khi giải quyết xong thủ tục hành chính)</w:t>
            </w:r>
          </w:p>
        </w:tc>
        <w:tc>
          <w:tcPr>
            <w:tcW w:w="4252" w:type="dxa"/>
          </w:tcPr>
          <w:p w:rsidR="00973962" w:rsidRPr="0061172E" w:rsidRDefault="00973962" w:rsidP="00E9173C">
            <w:pPr>
              <w:spacing w:before="120" w:after="120" w:line="340" w:lineRule="exact"/>
              <w:ind w:firstLine="488"/>
              <w:jc w:val="both"/>
              <w:rPr>
                <w:iCs/>
                <w:sz w:val="26"/>
                <w:lang w:val="nl-NL"/>
              </w:rPr>
            </w:pPr>
            <w:r w:rsidRPr="0061172E">
              <w:rPr>
                <w:iCs/>
                <w:sz w:val="26"/>
                <w:lang w:val="nl-NL"/>
              </w:rPr>
              <w:lastRenderedPageBreak/>
              <w:t>Công chức tiếp nhận và trả kết quả nhập vào sổ theo dõi hồ sơ và phần mềm điện tử thực hiện như sau:</w:t>
            </w:r>
          </w:p>
          <w:p w:rsidR="00973962" w:rsidRPr="0061172E" w:rsidRDefault="00973962" w:rsidP="00E9173C">
            <w:pPr>
              <w:spacing w:before="120" w:after="120" w:line="340" w:lineRule="exact"/>
              <w:ind w:firstLine="488"/>
              <w:jc w:val="both"/>
              <w:rPr>
                <w:iCs/>
                <w:sz w:val="26"/>
                <w:lang w:val="nl-NL"/>
              </w:rPr>
            </w:pPr>
            <w:r w:rsidRPr="0061172E">
              <w:rPr>
                <w:iCs/>
                <w:sz w:val="26"/>
                <w:lang w:val="nl-NL"/>
              </w:rPr>
              <w:t>- T</w:t>
            </w:r>
            <w:r w:rsidRPr="0061172E">
              <w:rPr>
                <w:sz w:val="26"/>
                <w:lang w:val="nl-NL"/>
              </w:rPr>
              <w:t xml:space="preserve">hông báo cho cá nhân biết trước qua tin nhắn, thư điện tử, điện thoại </w:t>
            </w:r>
            <w:r w:rsidRPr="0061172E">
              <w:rPr>
                <w:sz w:val="26"/>
                <w:lang w:val="nl-NL"/>
              </w:rPr>
              <w:lastRenderedPageBreak/>
              <w:t>hoặc qua mạng xã hội được cấp có thẩm quyền cho phép đối với hồ sơ giải quyết thủ tục hành chính trước thời hạn quy định.</w:t>
            </w:r>
          </w:p>
          <w:p w:rsidR="00973962" w:rsidRPr="0061172E" w:rsidRDefault="00973962" w:rsidP="00E9173C">
            <w:pPr>
              <w:spacing w:before="120" w:after="120"/>
              <w:ind w:firstLine="488"/>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viên chức trả kết quả kiểm tra phiếu hẹn và yêu cầu người đến nhận kết quả ký nhận vào sổ và trao kết quả. </w:t>
            </w:r>
          </w:p>
          <w:p w:rsidR="00973962" w:rsidRPr="0061172E" w:rsidRDefault="00973962" w:rsidP="00E9173C">
            <w:pPr>
              <w:spacing w:before="120" w:after="120"/>
              <w:ind w:firstLine="488"/>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rsidR="00973962" w:rsidRPr="0061172E" w:rsidRDefault="00973962" w:rsidP="00E9173C">
            <w:pPr>
              <w:spacing w:before="120" w:after="120" w:line="340" w:lineRule="exact"/>
              <w:ind w:firstLine="488"/>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973962" w:rsidRPr="0061172E" w:rsidRDefault="00973962" w:rsidP="00E9173C">
            <w:pPr>
              <w:spacing w:before="120" w:after="120"/>
              <w:ind w:firstLine="346"/>
              <w:jc w:val="both"/>
              <w:rPr>
                <w:iCs/>
                <w:sz w:val="26"/>
                <w:lang w:val="nl-NL"/>
              </w:rPr>
            </w:pPr>
            <w:r w:rsidRPr="0061172E">
              <w:rPr>
                <w:iCs/>
                <w:sz w:val="26"/>
                <w:lang w:val="nl-NL"/>
              </w:rPr>
              <w:t>- Thời gian trả kết quả: Sáng: từ 07 giờ đến 11 giờ 30 phút; chiều: từ 13 giờ 30 đến 17 giờ của các ngày làm việc.</w:t>
            </w:r>
          </w:p>
        </w:tc>
        <w:tc>
          <w:tcPr>
            <w:tcW w:w="2127" w:type="dxa"/>
            <w:vAlign w:val="center"/>
          </w:tcPr>
          <w:p w:rsidR="00973962" w:rsidRPr="0061172E" w:rsidRDefault="00973962" w:rsidP="00E9173C">
            <w:pPr>
              <w:spacing w:after="120" w:line="234" w:lineRule="atLeast"/>
              <w:jc w:val="center"/>
              <w:rPr>
                <w:bCs/>
                <w:i/>
                <w:sz w:val="26"/>
                <w:lang w:val="nl-NL"/>
              </w:rPr>
            </w:pPr>
            <w:r w:rsidRPr="0061172E">
              <w:rPr>
                <w:bCs/>
                <w:i/>
                <w:sz w:val="26"/>
                <w:lang w:val="nl-NL"/>
              </w:rPr>
              <w:lastRenderedPageBreak/>
              <w:t>01 ngày</w:t>
            </w:r>
          </w:p>
        </w:tc>
        <w:tc>
          <w:tcPr>
            <w:tcW w:w="992" w:type="dxa"/>
          </w:tcPr>
          <w:p w:rsidR="00973962" w:rsidRPr="0061172E" w:rsidRDefault="00973962" w:rsidP="00E9173C">
            <w:pPr>
              <w:spacing w:after="120" w:line="234" w:lineRule="atLeast"/>
              <w:jc w:val="both"/>
              <w:rPr>
                <w:sz w:val="26"/>
                <w:lang w:val="vi-VN"/>
              </w:rPr>
            </w:pPr>
          </w:p>
        </w:tc>
      </w:tr>
    </w:tbl>
    <w:p w:rsidR="00973962" w:rsidRPr="0061172E" w:rsidRDefault="00973962" w:rsidP="00973962">
      <w:pPr>
        <w:shd w:val="clear" w:color="auto" w:fill="FFFFFF"/>
        <w:spacing w:before="120" w:after="120"/>
        <w:ind w:firstLine="652"/>
        <w:jc w:val="both"/>
        <w:rPr>
          <w:bCs/>
          <w:i/>
          <w:sz w:val="26"/>
          <w:lang w:val="nl-NL"/>
        </w:rPr>
      </w:pPr>
      <w:r w:rsidRPr="0061172E">
        <w:rPr>
          <w:b/>
          <w:bCs/>
          <w:sz w:val="26"/>
          <w:lang w:val="nl-NL"/>
        </w:rPr>
        <w:lastRenderedPageBreak/>
        <w:t xml:space="preserve">8.2. Thành phần, số lượng hồ sơ </w:t>
      </w:r>
    </w:p>
    <w:p w:rsidR="00973962" w:rsidRPr="0061172E" w:rsidRDefault="00973962" w:rsidP="00973962">
      <w:pPr>
        <w:shd w:val="clear" w:color="auto" w:fill="FFFFFF"/>
        <w:spacing w:after="120" w:line="234" w:lineRule="atLeast"/>
        <w:ind w:firstLine="720"/>
        <w:jc w:val="both"/>
        <w:rPr>
          <w:sz w:val="26"/>
          <w:lang w:val="nl-NL"/>
        </w:rPr>
      </w:pPr>
      <w:r w:rsidRPr="0061172E">
        <w:rPr>
          <w:sz w:val="26"/>
          <w:lang w:val="nl-NL"/>
        </w:rPr>
        <w:t xml:space="preserve">a) Thành phần hồ sơ </w:t>
      </w:r>
    </w:p>
    <w:p w:rsidR="00973962" w:rsidRPr="0061172E" w:rsidRDefault="00973962" w:rsidP="00973962">
      <w:pPr>
        <w:spacing w:before="120"/>
        <w:ind w:firstLine="573"/>
        <w:jc w:val="both"/>
        <w:rPr>
          <w:bCs/>
          <w:iCs/>
          <w:sz w:val="26"/>
          <w:lang w:val="nl-NL"/>
        </w:rPr>
      </w:pPr>
      <w:r w:rsidRPr="0061172E">
        <w:rPr>
          <w:bCs/>
          <w:iCs/>
          <w:sz w:val="26"/>
          <w:lang w:val="nl-NL"/>
        </w:rPr>
        <w:t>- Đối với bảo tàng chuyên ngành: Người đứng đầu bảo tàng phải gửi đơn, hồ sơ xếp hạng đến người đứng đầu cơ quan tổ chức chủ quản trực tiếp của bảo tàng.</w:t>
      </w:r>
    </w:p>
    <w:p w:rsidR="00973962" w:rsidRPr="0061172E" w:rsidRDefault="00973962" w:rsidP="00973962">
      <w:pPr>
        <w:spacing w:before="120"/>
        <w:ind w:firstLine="573"/>
        <w:jc w:val="both"/>
        <w:rPr>
          <w:bCs/>
          <w:iCs/>
          <w:sz w:val="26"/>
          <w:lang w:val="nl-NL"/>
        </w:rPr>
      </w:pPr>
      <w:r w:rsidRPr="0061172E">
        <w:rPr>
          <w:bCs/>
          <w:iCs/>
          <w:sz w:val="26"/>
          <w:lang w:val="nl-NL"/>
        </w:rPr>
        <w:t>- Đối với bảo tàng cấp tỉnh, thành phố và Bảo tàng ngoài công lập: Người đứng đầu bảo tàng gởi văn bản đề nghị và hồ sơ xếp hạng (gồm: văn bản đề nghị xếp hạng của Bảo tàng; văn bản đề nghị của người đứng đầu ngành hoặc Chủ tịch UBND tỉnh; Báo cáo hiện trạng Bảo tàng theo tiêu chuẩn xếp hạng Bảo tàng theo quy định tại Điều 30 Nghị định 98/2010/NĐ-CP) đến Giám Đốc Sở Văn hóa, thể thao và Du lịch.</w:t>
      </w:r>
    </w:p>
    <w:p w:rsidR="00973962" w:rsidRPr="0061172E" w:rsidRDefault="00973962" w:rsidP="00973962">
      <w:pPr>
        <w:shd w:val="clear" w:color="auto" w:fill="FFFFFF"/>
        <w:spacing w:after="120" w:line="234" w:lineRule="atLeast"/>
        <w:ind w:firstLine="720"/>
        <w:jc w:val="both"/>
        <w:rPr>
          <w:sz w:val="26"/>
          <w:lang w:val="pt-BR"/>
        </w:rPr>
      </w:pPr>
      <w:r w:rsidRPr="0061172E">
        <w:rPr>
          <w:sz w:val="26"/>
          <w:lang w:val="pt-BR"/>
        </w:rPr>
        <w:t>b) Số lượng hồ sơ: 01 (một) bộ</w:t>
      </w:r>
    </w:p>
    <w:p w:rsidR="00973962" w:rsidRPr="0061172E" w:rsidRDefault="00973962" w:rsidP="00973962">
      <w:pPr>
        <w:spacing w:before="120" w:after="120"/>
        <w:ind w:firstLine="720"/>
        <w:jc w:val="both"/>
        <w:rPr>
          <w:sz w:val="26"/>
          <w:lang w:val="pt-BR"/>
        </w:rPr>
      </w:pPr>
      <w:r w:rsidRPr="0061172E">
        <w:rPr>
          <w:b/>
          <w:bCs/>
          <w:sz w:val="26"/>
          <w:lang w:val="pt-BR"/>
        </w:rPr>
        <w:t>11.3. Đối tượng thực hiện thủ tục hành chính: Tổ chức, cá nhân</w:t>
      </w:r>
    </w:p>
    <w:p w:rsidR="00973962" w:rsidRPr="0061172E" w:rsidRDefault="00973962" w:rsidP="00973962">
      <w:pPr>
        <w:shd w:val="clear" w:color="auto" w:fill="FFFFFF"/>
        <w:spacing w:after="120" w:line="234" w:lineRule="atLeast"/>
        <w:ind w:firstLine="720"/>
        <w:jc w:val="both"/>
        <w:rPr>
          <w:sz w:val="26"/>
          <w:lang w:val="pt-BR"/>
        </w:rPr>
      </w:pPr>
      <w:r w:rsidRPr="0061172E">
        <w:rPr>
          <w:b/>
          <w:bCs/>
          <w:sz w:val="26"/>
          <w:lang w:val="pt-BR"/>
        </w:rPr>
        <w:t>11.4. Cơ quan giải quyết thủ tục hành chính</w:t>
      </w:r>
      <w:r w:rsidRPr="0061172E">
        <w:rPr>
          <w:sz w:val="26"/>
          <w:lang w:val="pt-BR"/>
        </w:rPr>
        <w:t> </w:t>
      </w:r>
    </w:p>
    <w:p w:rsidR="00973962" w:rsidRPr="0061172E" w:rsidRDefault="00973962" w:rsidP="00973962">
      <w:pPr>
        <w:spacing w:before="120" w:after="120"/>
        <w:ind w:firstLine="709"/>
        <w:jc w:val="both"/>
        <w:rPr>
          <w:sz w:val="26"/>
          <w:lang w:val="de-DE"/>
        </w:rPr>
      </w:pPr>
      <w:r w:rsidRPr="0061172E">
        <w:rPr>
          <w:sz w:val="26"/>
          <w:lang w:val="pt-BR"/>
        </w:rPr>
        <w:t xml:space="preserve">- Cơ quan có thẩm quyền quyết định theo quy định: </w:t>
      </w:r>
      <w:r w:rsidRPr="0061172E">
        <w:rPr>
          <w:sz w:val="26"/>
          <w:lang w:val="de-DE"/>
        </w:rPr>
        <w:t>Ủy ban nhân dân tỉnh Đồng Tháp.</w:t>
      </w:r>
    </w:p>
    <w:p w:rsidR="00973962" w:rsidRPr="0061172E" w:rsidRDefault="00973962" w:rsidP="00973962">
      <w:pPr>
        <w:spacing w:before="120"/>
        <w:ind w:firstLine="709"/>
        <w:jc w:val="both"/>
        <w:rPr>
          <w:spacing w:val="-8"/>
          <w:sz w:val="26"/>
          <w:lang w:val="pt-BR"/>
        </w:rPr>
      </w:pPr>
      <w:r w:rsidRPr="0061172E">
        <w:rPr>
          <w:spacing w:val="-8"/>
          <w:sz w:val="26"/>
          <w:lang w:val="pt-BR"/>
        </w:rPr>
        <w:lastRenderedPageBreak/>
        <w:t>- Cơ quan hoặc người có thẩm quyền được uỷ quyền hoặc phân cấp thực hiện: Không.</w:t>
      </w:r>
    </w:p>
    <w:p w:rsidR="00973962" w:rsidRPr="0061172E" w:rsidRDefault="00973962" w:rsidP="00973962">
      <w:pPr>
        <w:spacing w:before="120"/>
        <w:ind w:firstLine="709"/>
        <w:jc w:val="both"/>
        <w:rPr>
          <w:sz w:val="26"/>
          <w:lang w:val="pt-BR"/>
        </w:rPr>
      </w:pPr>
      <w:r w:rsidRPr="0061172E">
        <w:rPr>
          <w:sz w:val="26"/>
          <w:lang w:val="pt-BR"/>
        </w:rPr>
        <w:t>- Cơ quan trực tiếp thực hiện thủ tục hành chính: Sở Văn hóa, Thể thao và Du lịch Đồng Tháp.</w:t>
      </w:r>
    </w:p>
    <w:p w:rsidR="00973962" w:rsidRPr="0061172E" w:rsidRDefault="00973962" w:rsidP="00973962">
      <w:pPr>
        <w:spacing w:before="120" w:after="120"/>
        <w:ind w:firstLine="720"/>
        <w:jc w:val="both"/>
        <w:rPr>
          <w:b/>
          <w:bCs/>
          <w:sz w:val="26"/>
          <w:lang w:val="pt-BR"/>
        </w:rPr>
      </w:pPr>
      <w:r w:rsidRPr="0061172E">
        <w:rPr>
          <w:b/>
          <w:bCs/>
          <w:sz w:val="26"/>
          <w:lang w:val="pt-BR"/>
        </w:rPr>
        <w:t xml:space="preserve">11.5. Kết quả thực hiện thủ tục hành chính: </w:t>
      </w:r>
      <w:r w:rsidRPr="0061172E">
        <w:rPr>
          <w:b/>
          <w:bCs/>
          <w:sz w:val="26"/>
          <w:lang w:val="de-DE"/>
        </w:rPr>
        <w:t>Quyết định hành chính</w:t>
      </w:r>
    </w:p>
    <w:p w:rsidR="00973962" w:rsidRPr="0061172E" w:rsidRDefault="00973962" w:rsidP="00973962">
      <w:pPr>
        <w:spacing w:before="120"/>
        <w:ind w:firstLine="709"/>
        <w:jc w:val="both"/>
        <w:rPr>
          <w:bCs/>
          <w:i/>
          <w:sz w:val="26"/>
          <w:lang w:val="pt-BR"/>
        </w:rPr>
      </w:pPr>
      <w:r w:rsidRPr="0061172E">
        <w:rPr>
          <w:b/>
          <w:bCs/>
          <w:sz w:val="26"/>
          <w:lang w:val="pt-BR"/>
        </w:rPr>
        <w:t>11.6. Phí, lệ phí:</w:t>
      </w:r>
      <w:r w:rsidRPr="0061172E">
        <w:rPr>
          <w:sz w:val="26"/>
          <w:lang w:val="pt-BR"/>
        </w:rPr>
        <w:t> </w:t>
      </w:r>
      <w:r w:rsidRPr="0061172E">
        <w:rPr>
          <w:bCs/>
          <w:i/>
          <w:sz w:val="26"/>
          <w:lang w:val="pt-BR"/>
        </w:rPr>
        <w:t>Không có quy định</w:t>
      </w:r>
    </w:p>
    <w:p w:rsidR="00973962" w:rsidRPr="0061172E" w:rsidRDefault="00973962" w:rsidP="00973962">
      <w:pPr>
        <w:tabs>
          <w:tab w:val="center" w:pos="1440"/>
          <w:tab w:val="center" w:pos="6480"/>
        </w:tabs>
        <w:spacing w:before="120" w:after="120"/>
        <w:ind w:firstLine="709"/>
        <w:jc w:val="both"/>
        <w:rPr>
          <w:b/>
          <w:bCs/>
          <w:sz w:val="26"/>
          <w:lang w:val="pt-BR"/>
        </w:rPr>
      </w:pPr>
      <w:r w:rsidRPr="0061172E">
        <w:rPr>
          <w:b/>
          <w:bCs/>
          <w:sz w:val="26"/>
          <w:lang w:val="pt-BR"/>
        </w:rPr>
        <w:t xml:space="preserve">11.7. Tên mẫu đơn, mẫu tờ khai: </w:t>
      </w:r>
      <w:r w:rsidRPr="0061172E">
        <w:rPr>
          <w:bCs/>
          <w:i/>
          <w:sz w:val="26"/>
          <w:lang w:val="pt-BR"/>
        </w:rPr>
        <w:t>Không có quy định</w:t>
      </w:r>
    </w:p>
    <w:p w:rsidR="00973962" w:rsidRPr="0061172E" w:rsidRDefault="00973962" w:rsidP="00973962">
      <w:pPr>
        <w:tabs>
          <w:tab w:val="center" w:pos="1440"/>
          <w:tab w:val="center" w:pos="6480"/>
        </w:tabs>
        <w:spacing w:before="120" w:after="120"/>
        <w:ind w:firstLine="709"/>
        <w:jc w:val="both"/>
        <w:rPr>
          <w:b/>
          <w:bCs/>
          <w:sz w:val="26"/>
          <w:lang w:val="hr-HR"/>
        </w:rPr>
      </w:pPr>
      <w:r w:rsidRPr="0061172E">
        <w:rPr>
          <w:b/>
          <w:bCs/>
          <w:sz w:val="26"/>
          <w:lang w:val="hr-HR"/>
        </w:rPr>
        <w:t xml:space="preserve">11.8. Yêu cầu, điều kiện thực hiện thủ tục hành chính: </w:t>
      </w:r>
    </w:p>
    <w:p w:rsidR="00973962" w:rsidRPr="0061172E" w:rsidRDefault="00973962" w:rsidP="00973962">
      <w:pPr>
        <w:tabs>
          <w:tab w:val="center" w:pos="1440"/>
          <w:tab w:val="center" w:pos="6480"/>
        </w:tabs>
        <w:spacing w:before="120"/>
        <w:ind w:firstLine="573"/>
        <w:jc w:val="both"/>
        <w:rPr>
          <w:i/>
          <w:sz w:val="26"/>
          <w:lang w:val="hr-HR"/>
        </w:rPr>
      </w:pPr>
      <w:r w:rsidRPr="0061172E">
        <w:rPr>
          <w:i/>
          <w:sz w:val="26"/>
          <w:lang w:val="hr-HR"/>
        </w:rPr>
        <w:t>a) Căn cứ Khoản 2, Điều 30 Nghị định số 98/NĐ-CP ngày 21/9/2010 của Chính Phủ quy định chi tiết thi hành một số điều của Luật Di sản Văn hóa và Luật sửa đổi bổ sung một số điều của Luật Di sản văn hóa.</w:t>
      </w:r>
    </w:p>
    <w:p w:rsidR="00973962" w:rsidRPr="0061172E" w:rsidRDefault="00973962" w:rsidP="00973962">
      <w:pPr>
        <w:tabs>
          <w:tab w:val="center" w:pos="1440"/>
          <w:tab w:val="center" w:pos="6480"/>
        </w:tabs>
        <w:spacing w:before="120"/>
        <w:ind w:firstLine="573"/>
        <w:jc w:val="both"/>
        <w:rPr>
          <w:sz w:val="26"/>
          <w:lang w:val="hr-HR"/>
        </w:rPr>
      </w:pPr>
      <w:r w:rsidRPr="0061172E">
        <w:rPr>
          <w:sz w:val="26"/>
          <w:lang w:val="hr-HR"/>
        </w:rPr>
        <w:t>- Bảo tàng hạng II phải đạt được các tiêu chuẩn sau đây:</w:t>
      </w:r>
    </w:p>
    <w:p w:rsidR="00973962" w:rsidRPr="0061172E" w:rsidRDefault="00973962" w:rsidP="00973962">
      <w:pPr>
        <w:spacing w:before="120"/>
        <w:ind w:firstLine="573"/>
        <w:jc w:val="both"/>
        <w:rPr>
          <w:sz w:val="26"/>
          <w:lang w:val="hr-HR"/>
        </w:rPr>
      </w:pPr>
      <w:r w:rsidRPr="0061172E">
        <w:rPr>
          <w:sz w:val="26"/>
          <w:lang w:val="hr-HR"/>
        </w:rPr>
        <w:t>+ Có đủ tài liệu, hiện vật trưng bày phù hợp với đối tượng và phạm vi hoạt động của bảo tàng, trong đó có ít nhất 3 sưu tập tài liệu, hiện vật quý hiếm; từ đủ 80% tổng số tài liệu, hiện vật trở lên đã được kiểm kê khoa học;</w:t>
      </w:r>
    </w:p>
    <w:p w:rsidR="00973962" w:rsidRPr="0061172E" w:rsidRDefault="00973962" w:rsidP="00973962">
      <w:pPr>
        <w:spacing w:before="120"/>
        <w:ind w:firstLine="573"/>
        <w:jc w:val="both"/>
        <w:rPr>
          <w:spacing w:val="-8"/>
          <w:sz w:val="26"/>
          <w:lang w:val="hr-HR"/>
        </w:rPr>
      </w:pPr>
      <w:r w:rsidRPr="0061172E">
        <w:rPr>
          <w:spacing w:val="-8"/>
          <w:sz w:val="26"/>
          <w:lang w:val="hr-HR"/>
        </w:rPr>
        <w:t>+ 100% tổng số tài liệu, hiện vật được bảo quản định kỳ và bảo quản phòng ngừa;</w:t>
      </w:r>
    </w:p>
    <w:p w:rsidR="00973962" w:rsidRPr="0061172E" w:rsidRDefault="00973962" w:rsidP="00973962">
      <w:pPr>
        <w:spacing w:before="120"/>
        <w:ind w:firstLine="573"/>
        <w:jc w:val="both"/>
        <w:rPr>
          <w:sz w:val="26"/>
          <w:lang w:val="hr-HR"/>
        </w:rPr>
      </w:pPr>
      <w:r w:rsidRPr="0061172E">
        <w:rPr>
          <w:sz w:val="26"/>
          <w:lang w:val="hr-HR"/>
        </w:rPr>
        <w:t>+ Có trưng bày thường trực và hằng năm có ít nhất 2 trưng bày chuyên đề; thường xuyên mở cửa trưng bày phục vụ công chúng;</w:t>
      </w:r>
    </w:p>
    <w:p w:rsidR="00973962" w:rsidRPr="0061172E" w:rsidRDefault="00973962" w:rsidP="00973962">
      <w:pPr>
        <w:spacing w:before="120"/>
        <w:ind w:firstLine="573"/>
        <w:jc w:val="both"/>
        <w:rPr>
          <w:sz w:val="26"/>
          <w:lang w:val="hr-HR"/>
        </w:rPr>
      </w:pPr>
      <w:r w:rsidRPr="0061172E">
        <w:rPr>
          <w:sz w:val="26"/>
          <w:lang w:val="hr-HR"/>
        </w:rPr>
        <w:t xml:space="preserve">+ Có công trình kiến trúc bền vững và hạ tầng kỹ thuật phù hợp, bảo đảm cho việc bảo quản, trưng bày tài liệu, hiện vật quy định tại điểm a, điểm b, điểm c khoản 2 và các hoạt động thường xuyên khác. </w:t>
      </w:r>
    </w:p>
    <w:p w:rsidR="00973962" w:rsidRPr="0061172E" w:rsidRDefault="00973962" w:rsidP="00973962">
      <w:pPr>
        <w:spacing w:before="120"/>
        <w:ind w:firstLine="573"/>
        <w:jc w:val="both"/>
        <w:rPr>
          <w:sz w:val="26"/>
          <w:lang w:val="hr-HR"/>
        </w:rPr>
      </w:pPr>
      <w:r w:rsidRPr="0061172E">
        <w:rPr>
          <w:sz w:val="26"/>
          <w:lang w:val="hr-HR"/>
        </w:rPr>
        <w:t>+ Từ đủ 80% số công chức, viên chức, nhân viên trực tiếp làm chuyên môn trở lên có trình độ đại học phù hợp với đối tượng và phạm vi hoạt động của bảo tàng.</w:t>
      </w:r>
    </w:p>
    <w:p w:rsidR="00973962" w:rsidRPr="0061172E" w:rsidRDefault="00973962" w:rsidP="00973962">
      <w:pPr>
        <w:tabs>
          <w:tab w:val="center" w:pos="1440"/>
          <w:tab w:val="center" w:pos="6480"/>
        </w:tabs>
        <w:spacing w:before="120"/>
        <w:ind w:firstLine="573"/>
        <w:jc w:val="both"/>
        <w:rPr>
          <w:i/>
          <w:sz w:val="26"/>
          <w:lang w:val="hr-HR"/>
        </w:rPr>
      </w:pPr>
      <w:r w:rsidRPr="0061172E">
        <w:rPr>
          <w:i/>
          <w:sz w:val="26"/>
          <w:lang w:val="hr-HR"/>
        </w:rPr>
        <w:t>b) Căn cứ Khoản 3, Điều 30 Nghị định số 98/NĐ-CP ngày 21/9/2010 của Chính Phủ quy định chi tiết thi hành một số điều của Luật Di sản Văn hóa và Luật sửa đổi bổ sung một số điều của Luật Di sản văn hóa.</w:t>
      </w:r>
    </w:p>
    <w:p w:rsidR="00973962" w:rsidRPr="0061172E" w:rsidRDefault="00973962" w:rsidP="00973962">
      <w:pPr>
        <w:tabs>
          <w:tab w:val="center" w:pos="1440"/>
          <w:tab w:val="center" w:pos="6480"/>
        </w:tabs>
        <w:spacing w:before="120"/>
        <w:ind w:firstLine="573"/>
        <w:jc w:val="both"/>
        <w:rPr>
          <w:sz w:val="26"/>
          <w:lang w:val="hr-HR"/>
        </w:rPr>
      </w:pPr>
      <w:r w:rsidRPr="0061172E">
        <w:rPr>
          <w:sz w:val="26"/>
          <w:lang w:val="hr-HR"/>
        </w:rPr>
        <w:t>- Bảo tàng hạng III phải đạt được các tiêu chuẩn sau đây:</w:t>
      </w:r>
    </w:p>
    <w:p w:rsidR="00973962" w:rsidRPr="0061172E" w:rsidRDefault="00973962" w:rsidP="00973962">
      <w:pPr>
        <w:spacing w:before="120"/>
        <w:ind w:firstLine="573"/>
        <w:jc w:val="both"/>
        <w:rPr>
          <w:sz w:val="26"/>
          <w:lang w:val="hr-HR"/>
        </w:rPr>
      </w:pPr>
      <w:r w:rsidRPr="0061172E">
        <w:rPr>
          <w:sz w:val="26"/>
          <w:lang w:val="hr-HR"/>
        </w:rPr>
        <w:t>+ Có đủ tài liệu, hiện vật trưng bày phù hợp với đối tượng và phạm vi hoạt động của bảo tàng, trong đó có ít nhất 1 sưu tập tài liệu, hiện vật quý hiếm; từ đủ 70% tổng số tài liệu, hiện vật trở lên đã được kiểm kê khoa học;</w:t>
      </w:r>
    </w:p>
    <w:p w:rsidR="00973962" w:rsidRPr="0061172E" w:rsidRDefault="00973962" w:rsidP="00973962">
      <w:pPr>
        <w:spacing w:before="120"/>
        <w:ind w:firstLine="573"/>
        <w:jc w:val="both"/>
        <w:rPr>
          <w:sz w:val="26"/>
          <w:lang w:val="hr-HR"/>
        </w:rPr>
      </w:pPr>
      <w:r w:rsidRPr="0061172E">
        <w:rPr>
          <w:b/>
          <w:sz w:val="26"/>
          <w:lang w:val="hr-HR"/>
        </w:rPr>
        <w:t>+</w:t>
      </w:r>
      <w:r w:rsidRPr="0061172E">
        <w:rPr>
          <w:sz w:val="26"/>
          <w:lang w:val="hr-HR"/>
        </w:rPr>
        <w:t xml:space="preserve"> 100% tổng số tài liệu, hiện vật được bảo quản định kỳ;</w:t>
      </w:r>
    </w:p>
    <w:p w:rsidR="00973962" w:rsidRPr="0061172E" w:rsidRDefault="00973962" w:rsidP="00973962">
      <w:pPr>
        <w:spacing w:before="120"/>
        <w:ind w:firstLine="573"/>
        <w:jc w:val="both"/>
        <w:rPr>
          <w:sz w:val="26"/>
          <w:lang w:val="hr-HR"/>
        </w:rPr>
      </w:pPr>
      <w:r w:rsidRPr="0061172E">
        <w:rPr>
          <w:b/>
          <w:sz w:val="26"/>
          <w:lang w:val="hr-HR"/>
        </w:rPr>
        <w:t>+</w:t>
      </w:r>
      <w:r w:rsidRPr="0061172E">
        <w:rPr>
          <w:sz w:val="26"/>
          <w:lang w:val="hr-HR"/>
        </w:rPr>
        <w:t xml:space="preserve"> Có trưng bày thường trực và hằng năm có ít nhất 1 trưng bày chuyên đề; thường xuyên mở cửa trưng bày phục vụ công chúng </w:t>
      </w:r>
    </w:p>
    <w:p w:rsidR="00973962" w:rsidRPr="0061172E" w:rsidRDefault="00973962" w:rsidP="00973962">
      <w:pPr>
        <w:spacing w:before="120"/>
        <w:ind w:firstLine="573"/>
        <w:jc w:val="both"/>
        <w:rPr>
          <w:sz w:val="26"/>
          <w:lang w:val="hr-HR"/>
        </w:rPr>
      </w:pPr>
      <w:r w:rsidRPr="0061172E">
        <w:rPr>
          <w:sz w:val="26"/>
          <w:lang w:val="hr-HR"/>
        </w:rPr>
        <w:t>+ Có công trình kiến trúc bền vững và hạ tầng kỹ thuật phù hợp, bảo đảm cho việc bảo quản, trưng bày tài liệu, hiện vật quy định tại điểm a, điểm b, điểm c khoản 3 Điều này và các hoạt động thường xuyên khác của bảo tàng;</w:t>
      </w:r>
    </w:p>
    <w:p w:rsidR="00973962" w:rsidRPr="0061172E" w:rsidRDefault="00973962" w:rsidP="00973962">
      <w:pPr>
        <w:spacing w:before="120"/>
        <w:ind w:firstLine="573"/>
        <w:jc w:val="both"/>
        <w:rPr>
          <w:b/>
          <w:bCs/>
          <w:sz w:val="26"/>
          <w:lang w:val="hr-HR"/>
        </w:rPr>
      </w:pPr>
      <w:r w:rsidRPr="0061172E">
        <w:rPr>
          <w:b/>
          <w:sz w:val="26"/>
          <w:lang w:val="hr-HR"/>
        </w:rPr>
        <w:t>+</w:t>
      </w:r>
      <w:r w:rsidRPr="0061172E">
        <w:rPr>
          <w:sz w:val="26"/>
          <w:lang w:val="hr-HR"/>
        </w:rPr>
        <w:t xml:space="preserve"> Từ đủ 60% số công chức, viên chức, nhân viên trực tiếp làm chuyên môn trở lên có trình độ đại học phù hợp với đối tượng và phạm vi hoạt động của bảo tàng.</w:t>
      </w:r>
      <w:r w:rsidRPr="0061172E">
        <w:rPr>
          <w:b/>
          <w:bCs/>
          <w:sz w:val="26"/>
          <w:lang w:val="hr-HR"/>
        </w:rPr>
        <w:t xml:space="preserve"> </w:t>
      </w:r>
    </w:p>
    <w:p w:rsidR="00973962" w:rsidRPr="0061172E" w:rsidRDefault="00973962" w:rsidP="00973962">
      <w:pPr>
        <w:shd w:val="clear" w:color="auto" w:fill="FFFFFF"/>
        <w:spacing w:after="120" w:line="234" w:lineRule="atLeast"/>
        <w:ind w:firstLine="720"/>
        <w:jc w:val="both"/>
        <w:rPr>
          <w:b/>
          <w:bCs/>
          <w:sz w:val="26"/>
          <w:lang w:val="hr-HR"/>
        </w:rPr>
      </w:pPr>
      <w:r w:rsidRPr="0061172E">
        <w:rPr>
          <w:b/>
          <w:bCs/>
          <w:sz w:val="26"/>
          <w:lang w:val="hr-HR"/>
        </w:rPr>
        <w:t>11</w:t>
      </w:r>
      <w:r w:rsidRPr="0061172E">
        <w:rPr>
          <w:b/>
          <w:bCs/>
          <w:sz w:val="26"/>
          <w:lang w:val="vi-VN"/>
        </w:rPr>
        <w:t xml:space="preserve">.9. </w:t>
      </w:r>
      <w:r w:rsidRPr="0061172E">
        <w:rPr>
          <w:b/>
          <w:bCs/>
          <w:sz w:val="26"/>
          <w:lang w:val="hr-HR"/>
        </w:rPr>
        <w:t xml:space="preserve">Căn cứ pháp lý của thủ tục hành chính </w:t>
      </w:r>
    </w:p>
    <w:p w:rsidR="00973962" w:rsidRPr="0061172E" w:rsidRDefault="00973962" w:rsidP="00973962">
      <w:pPr>
        <w:spacing w:before="120"/>
        <w:ind w:firstLine="709"/>
        <w:jc w:val="both"/>
        <w:rPr>
          <w:spacing w:val="-8"/>
          <w:sz w:val="26"/>
          <w:lang w:val="hr-HR"/>
        </w:rPr>
      </w:pPr>
      <w:r w:rsidRPr="0061172E">
        <w:rPr>
          <w:bCs/>
          <w:spacing w:val="-8"/>
          <w:sz w:val="26"/>
          <w:lang w:val="hr-HR"/>
        </w:rPr>
        <w:t>-</w:t>
      </w:r>
      <w:r w:rsidRPr="0061172E">
        <w:rPr>
          <w:b/>
          <w:bCs/>
          <w:spacing w:val="-8"/>
          <w:sz w:val="26"/>
          <w:lang w:val="hr-HR"/>
        </w:rPr>
        <w:t xml:space="preserve"> </w:t>
      </w:r>
      <w:r w:rsidRPr="0061172E">
        <w:rPr>
          <w:spacing w:val="-8"/>
          <w:sz w:val="26"/>
          <w:lang w:val="hr-HR"/>
        </w:rPr>
        <w:t>Luật của Quốc hội : Luật Di sản văn hóa năm 2001 được sửa đổi bổ sung năm 2009.</w:t>
      </w:r>
    </w:p>
    <w:p w:rsidR="00973962" w:rsidRPr="0061172E" w:rsidRDefault="00973962" w:rsidP="00973962">
      <w:pPr>
        <w:shd w:val="clear" w:color="auto" w:fill="FFFFFF"/>
        <w:spacing w:after="120" w:line="234" w:lineRule="atLeast"/>
        <w:ind w:firstLine="720"/>
        <w:jc w:val="both"/>
        <w:rPr>
          <w:sz w:val="26"/>
          <w:lang w:val="hr-HR"/>
        </w:rPr>
      </w:pPr>
      <w:r w:rsidRPr="0061172E">
        <w:rPr>
          <w:sz w:val="26"/>
          <w:lang w:val="hr-HR"/>
        </w:rPr>
        <w:lastRenderedPageBreak/>
        <w:t>- Nghị định của Chính phủ: Nghị định 98/2010/NĐ-CP của Chính phủ ngày 21 tháng 9 năm 2010 quy định chi tiết thi hành một số điều của Luật Di sản văn hoá và Luật sửa đổi, bổ sung một số điều của Luật Di sản văn hoá.</w:t>
      </w:r>
    </w:p>
    <w:p w:rsidR="00973962" w:rsidRPr="0061172E" w:rsidRDefault="00973962" w:rsidP="00973962">
      <w:pPr>
        <w:shd w:val="clear" w:color="auto" w:fill="FFFFFF"/>
        <w:spacing w:after="120" w:line="234" w:lineRule="atLeast"/>
        <w:ind w:firstLine="720"/>
        <w:jc w:val="both"/>
        <w:rPr>
          <w:i/>
          <w:sz w:val="26"/>
          <w:lang w:val="vi-VN"/>
        </w:rPr>
      </w:pPr>
      <w:r w:rsidRPr="0061172E">
        <w:rPr>
          <w:b/>
          <w:sz w:val="26"/>
          <w:lang w:val="nl-NL"/>
        </w:rPr>
        <w:t>11.10.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973962" w:rsidRPr="0061172E"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73962" w:rsidRPr="0061172E" w:rsidRDefault="00973962" w:rsidP="00E9173C">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973962" w:rsidRPr="0061172E" w:rsidRDefault="00973962" w:rsidP="00E9173C">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973962" w:rsidRPr="0061172E" w:rsidRDefault="00973962" w:rsidP="00E9173C">
            <w:pPr>
              <w:spacing w:before="40" w:after="40"/>
              <w:jc w:val="center"/>
              <w:rPr>
                <w:sz w:val="26"/>
                <w:lang w:val="nl-NL"/>
              </w:rPr>
            </w:pPr>
            <w:r w:rsidRPr="0061172E">
              <w:rPr>
                <w:b/>
                <w:bCs/>
                <w:sz w:val="26"/>
                <w:lang w:val="nl-NL"/>
              </w:rPr>
              <w:t>Thời gian lưu</w:t>
            </w:r>
          </w:p>
        </w:tc>
      </w:tr>
      <w:tr w:rsidR="00973962"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73962" w:rsidRPr="0061172E" w:rsidRDefault="00973962" w:rsidP="00E9173C">
            <w:pPr>
              <w:spacing w:before="40" w:after="40"/>
              <w:rPr>
                <w:sz w:val="26"/>
                <w:lang w:val="nl-NL"/>
              </w:rPr>
            </w:pPr>
            <w:r w:rsidRPr="0061172E">
              <w:rPr>
                <w:sz w:val="26"/>
                <w:lang w:val="nl-NL"/>
              </w:rPr>
              <w:t>- Như mục 8.2;</w:t>
            </w:r>
          </w:p>
          <w:p w:rsidR="00973962" w:rsidRPr="0061172E" w:rsidRDefault="00973962" w:rsidP="00E9173C">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rsidR="00973962" w:rsidRPr="0061172E" w:rsidRDefault="00973962" w:rsidP="00E9173C">
            <w:pPr>
              <w:spacing w:before="40" w:after="40"/>
              <w:rPr>
                <w:sz w:val="26"/>
                <w:lang w:val="nl-NL"/>
              </w:rPr>
            </w:pPr>
            <w:r w:rsidRPr="0061172E">
              <w:rPr>
                <w:sz w:val="26"/>
                <w:lang w:val="nl-NL"/>
              </w:rPr>
              <w:t>- Hồ sơ thẩm định (nếu có)</w:t>
            </w:r>
          </w:p>
          <w:p w:rsidR="00973962" w:rsidRPr="0061172E" w:rsidRDefault="00973962" w:rsidP="00E9173C">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973962" w:rsidRPr="0061172E" w:rsidRDefault="00973962" w:rsidP="00E9173C">
            <w:pPr>
              <w:spacing w:before="40" w:after="40"/>
              <w:jc w:val="both"/>
              <w:rPr>
                <w:sz w:val="26"/>
                <w:lang w:val="nl-NL"/>
              </w:rPr>
            </w:pPr>
            <w:r w:rsidRPr="0061172E">
              <w:rPr>
                <w:sz w:val="26"/>
                <w:lang w:val="nl-NL"/>
              </w:rPr>
              <w:t>Cơ quan chuyên môn (Phòng/Bộ phận chuyên môn)</w:t>
            </w:r>
          </w:p>
        </w:tc>
        <w:tc>
          <w:tcPr>
            <w:tcW w:w="1217" w:type="pct"/>
            <w:vMerge w:val="restart"/>
            <w:tcBorders>
              <w:top w:val="single" w:sz="4" w:space="0" w:color="auto"/>
              <w:left w:val="single" w:sz="4" w:space="0" w:color="auto"/>
              <w:right w:val="single" w:sz="4" w:space="0" w:color="auto"/>
            </w:tcBorders>
            <w:vAlign w:val="center"/>
          </w:tcPr>
          <w:p w:rsidR="00973962" w:rsidRPr="0061172E" w:rsidRDefault="00973962" w:rsidP="00E9173C">
            <w:pPr>
              <w:spacing w:before="40" w:after="40"/>
              <w:jc w:val="both"/>
              <w:rPr>
                <w:sz w:val="26"/>
                <w:lang w:val="nl-NL"/>
              </w:rPr>
            </w:pPr>
            <w:r w:rsidRPr="0061172E">
              <w:rPr>
                <w:sz w:val="26"/>
                <w:lang w:val="nl-NL"/>
              </w:rPr>
              <w:t>Từ 05 năm, sau đó chuyển hồ sơ đến kho lưu trữ của đơn vị (hoặc lưu trữ tỉnh, huyện)</w:t>
            </w:r>
          </w:p>
        </w:tc>
      </w:tr>
      <w:tr w:rsidR="00973962" w:rsidRPr="00927E64" w:rsidTr="00E9173C">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73962" w:rsidRPr="0061172E" w:rsidRDefault="00973962" w:rsidP="00E9173C">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973962" w:rsidRPr="0061172E" w:rsidRDefault="00973962" w:rsidP="00E9173C">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rsidR="00973962" w:rsidRPr="0061172E" w:rsidRDefault="00973962" w:rsidP="00E9173C">
            <w:pPr>
              <w:spacing w:before="40" w:after="40"/>
              <w:rPr>
                <w:sz w:val="26"/>
                <w:lang w:val="nl-NL"/>
              </w:rPr>
            </w:pPr>
          </w:p>
        </w:tc>
      </w:tr>
    </w:tbl>
    <w:p w:rsidR="00973962" w:rsidRPr="0061172E" w:rsidRDefault="00973962" w:rsidP="00973962">
      <w:pPr>
        <w:shd w:val="clear" w:color="auto" w:fill="FFFFFF"/>
        <w:spacing w:after="120" w:line="234" w:lineRule="atLeast"/>
        <w:ind w:firstLine="720"/>
        <w:jc w:val="both"/>
        <w:rPr>
          <w:bCs/>
          <w:i/>
          <w:sz w:val="26"/>
          <w:lang w:val="nl-NL"/>
        </w:rPr>
      </w:pPr>
    </w:p>
    <w:p w:rsidR="00973962" w:rsidRPr="0061172E" w:rsidRDefault="00973962" w:rsidP="00973962">
      <w:pPr>
        <w:rPr>
          <w:bCs/>
          <w:i/>
          <w:sz w:val="26"/>
          <w:lang w:val="nl-NL"/>
        </w:rPr>
      </w:pPr>
    </w:p>
    <w:p w:rsidR="000738D7" w:rsidRPr="00973962" w:rsidRDefault="000738D7" w:rsidP="00973962">
      <w:bookmarkStart w:id="0" w:name="_GoBack"/>
      <w:bookmarkEnd w:id="0"/>
    </w:p>
    <w:sectPr w:rsidR="000738D7" w:rsidRPr="00973962" w:rsidSect="00CA225D">
      <w:headerReference w:type="even" r:id="rId5"/>
      <w:footerReference w:type="even" r:id="rId6"/>
      <w:footerReference w:type="default" r:id="rId7"/>
      <w:headerReference w:type="first" r:id="rId8"/>
      <w:footerReference w:type="first" r:id="rId9"/>
      <w:pgSz w:w="11907" w:h="16840" w:code="9"/>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973962" w:rsidP="00ED35D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459782"/>
      <w:docPartObj>
        <w:docPartGallery w:val="Page Numbers (Bottom of Page)"/>
        <w:docPartUnique/>
      </w:docPartObj>
    </w:sdtPr>
    <w:sdtEndPr>
      <w:rPr>
        <w:noProof/>
      </w:rPr>
    </w:sdtEndPr>
    <w:sdtContent>
      <w:p w:rsidR="006A7C40" w:rsidRDefault="00973962">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6A7C40" w:rsidRPr="003576C5" w:rsidRDefault="00973962" w:rsidP="00ED35DE">
    <w:pPr>
      <w:pStyle w:val="Footer"/>
      <w:ind w:right="360"/>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884778"/>
      <w:docPartObj>
        <w:docPartGallery w:val="Page Numbers (Bottom of Page)"/>
        <w:docPartUnique/>
      </w:docPartObj>
    </w:sdtPr>
    <w:sdtEndPr>
      <w:rPr>
        <w:noProof/>
      </w:rPr>
    </w:sdtEndPr>
    <w:sdtContent>
      <w:p w:rsidR="006A7C40" w:rsidRDefault="00973962">
        <w:pPr>
          <w:pStyle w:val="Footer"/>
          <w:jc w:val="right"/>
        </w:pPr>
        <w:r>
          <w:fldChar w:fldCharType="begin"/>
        </w:r>
        <w:r>
          <w:instrText xml:space="preserve"> PAGE   \* MERGEFORMAT </w:instrText>
        </w:r>
        <w:r>
          <w:fldChar w:fldCharType="separate"/>
        </w:r>
        <w:r w:rsidR="00CA225D">
          <w:rPr>
            <w:noProof/>
          </w:rPr>
          <w:t>1</w:t>
        </w:r>
        <w:r>
          <w:rPr>
            <w:noProof/>
          </w:rPr>
          <w:fldChar w:fldCharType="end"/>
        </w:r>
      </w:p>
    </w:sdtContent>
  </w:sdt>
  <w:p w:rsidR="006A7C40" w:rsidRDefault="00973962">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973962">
    <w:pPr>
      <w:pStyle w:val="Header"/>
      <w:jc w:val="center"/>
    </w:pPr>
  </w:p>
  <w:p w:rsidR="006A7C40" w:rsidRDefault="0097396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C40" w:rsidRDefault="00973962">
    <w:pPr>
      <w:pStyle w:val="Header"/>
      <w:jc w:val="center"/>
    </w:pPr>
  </w:p>
  <w:p w:rsidR="006A7C40" w:rsidRDefault="009739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5D"/>
    <w:rsid w:val="00026007"/>
    <w:rsid w:val="000738D7"/>
    <w:rsid w:val="00083479"/>
    <w:rsid w:val="002A2498"/>
    <w:rsid w:val="00435017"/>
    <w:rsid w:val="005C70DB"/>
    <w:rsid w:val="00632540"/>
    <w:rsid w:val="00697EE6"/>
    <w:rsid w:val="006F22C5"/>
    <w:rsid w:val="00716CCC"/>
    <w:rsid w:val="00820EFA"/>
    <w:rsid w:val="00936796"/>
    <w:rsid w:val="00973962"/>
    <w:rsid w:val="00CA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CD51B-078E-4017-91A5-00D50715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25D"/>
    <w:pPr>
      <w:spacing w:before="0" w:after="0" w:line="240" w:lineRule="auto"/>
    </w:pPr>
    <w:rPr>
      <w:rFonts w:eastAsia="Times New Roman" w:cs="Times New Roman"/>
      <w:sz w:val="24"/>
      <w:szCs w:val="24"/>
    </w:rPr>
  </w:style>
  <w:style w:type="paragraph" w:styleId="Heading6">
    <w:name w:val="heading 6"/>
    <w:basedOn w:val="Normal"/>
    <w:next w:val="Normal"/>
    <w:link w:val="Heading6Char"/>
    <w:uiPriority w:val="9"/>
    <w:unhideWhenUsed/>
    <w:qFormat/>
    <w:rsid w:val="00CA225D"/>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A225D"/>
    <w:rPr>
      <w:rFonts w:asciiTheme="majorHAnsi" w:eastAsiaTheme="majorEastAsia" w:hAnsiTheme="majorHAnsi" w:cstheme="majorBidi"/>
      <w:i/>
      <w:iCs/>
      <w:color w:val="1F4D78" w:themeColor="accent1" w:themeShade="7F"/>
      <w:sz w:val="24"/>
      <w:szCs w:val="24"/>
    </w:rPr>
  </w:style>
  <w:style w:type="paragraph" w:styleId="Footer">
    <w:name w:val="footer"/>
    <w:basedOn w:val="Normal"/>
    <w:link w:val="FooterChar"/>
    <w:uiPriority w:val="99"/>
    <w:rsid w:val="00CA225D"/>
    <w:pPr>
      <w:tabs>
        <w:tab w:val="center" w:pos="4320"/>
        <w:tab w:val="right" w:pos="8640"/>
      </w:tabs>
    </w:pPr>
    <w:rPr>
      <w:sz w:val="20"/>
      <w:szCs w:val="20"/>
    </w:rPr>
  </w:style>
  <w:style w:type="character" w:customStyle="1" w:styleId="FooterChar">
    <w:name w:val="Footer Char"/>
    <w:basedOn w:val="DefaultParagraphFont"/>
    <w:link w:val="Footer"/>
    <w:uiPriority w:val="99"/>
    <w:rsid w:val="00CA225D"/>
    <w:rPr>
      <w:rFonts w:eastAsia="Times New Roman" w:cs="Times New Roman"/>
      <w:sz w:val="20"/>
      <w:szCs w:val="20"/>
    </w:rPr>
  </w:style>
  <w:style w:type="table" w:styleId="TableGrid">
    <w:name w:val="Table Grid"/>
    <w:basedOn w:val="TableNormal"/>
    <w:uiPriority w:val="59"/>
    <w:rsid w:val="00CA225D"/>
    <w:pPr>
      <w:spacing w:before="0" w:after="0" w:line="240" w:lineRule="auto"/>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25D"/>
    <w:pPr>
      <w:tabs>
        <w:tab w:val="center" w:pos="4680"/>
        <w:tab w:val="right" w:pos="9360"/>
      </w:tabs>
    </w:pPr>
  </w:style>
  <w:style w:type="character" w:customStyle="1" w:styleId="HeaderChar">
    <w:name w:val="Header Char"/>
    <w:basedOn w:val="DefaultParagraphFont"/>
    <w:link w:val="Header"/>
    <w:uiPriority w:val="99"/>
    <w:rsid w:val="00CA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2021-10-11T02:18:00Z</dcterms:created>
  <dcterms:modified xsi:type="dcterms:W3CDTF">2021-10-11T02:18:00Z</dcterms:modified>
</cp:coreProperties>
</file>