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C0" w:rsidRPr="001F5DFD" w:rsidRDefault="00D43568" w:rsidP="00D43568">
      <w:pPr>
        <w:spacing w:after="0" w:line="240" w:lineRule="auto"/>
        <w:jc w:val="center"/>
        <w:rPr>
          <w:b/>
          <w:sz w:val="28"/>
          <w:szCs w:val="28"/>
          <w:lang w:val="en-US"/>
        </w:rPr>
      </w:pPr>
      <w:r w:rsidRPr="001F5DFD">
        <w:rPr>
          <w:b/>
          <w:sz w:val="28"/>
          <w:szCs w:val="28"/>
          <w:lang w:val="en-US"/>
        </w:rPr>
        <w:t>PHỤ LỤ</w:t>
      </w:r>
      <w:r w:rsidR="00135B47" w:rsidRPr="001F5DFD">
        <w:rPr>
          <w:b/>
          <w:sz w:val="28"/>
          <w:szCs w:val="28"/>
          <w:lang w:val="en-US"/>
        </w:rPr>
        <w:t>C</w:t>
      </w:r>
    </w:p>
    <w:p w:rsidR="00135B47" w:rsidRPr="001F5DFD" w:rsidRDefault="00D43568" w:rsidP="00D43568">
      <w:pPr>
        <w:spacing w:after="0" w:line="240" w:lineRule="auto"/>
        <w:jc w:val="center"/>
        <w:rPr>
          <w:b/>
          <w:sz w:val="28"/>
          <w:szCs w:val="28"/>
          <w:lang w:val="en-US"/>
        </w:rPr>
      </w:pPr>
      <w:r w:rsidRPr="001F5DFD">
        <w:rPr>
          <w:b/>
          <w:sz w:val="28"/>
          <w:szCs w:val="28"/>
          <w:lang w:val="en-US"/>
        </w:rPr>
        <w:t xml:space="preserve">Danh </w:t>
      </w:r>
      <w:r w:rsidR="00135B47" w:rsidRPr="001F5DFD">
        <w:rPr>
          <w:b/>
          <w:sz w:val="28"/>
          <w:szCs w:val="28"/>
          <w:lang w:val="en-US"/>
        </w:rPr>
        <w:t>mục ngành, chuyên ngành của các trường Đại học được duyệt dự tuyển tại trường Đại học Cảnh sát nhân dân</w:t>
      </w:r>
    </w:p>
    <w:p w:rsidR="00D43568" w:rsidRPr="001F5DFD" w:rsidRDefault="00135B47" w:rsidP="00D43568">
      <w:pPr>
        <w:spacing w:after="0" w:line="240" w:lineRule="auto"/>
        <w:jc w:val="center"/>
        <w:rPr>
          <w:i/>
          <w:sz w:val="28"/>
          <w:szCs w:val="28"/>
          <w:lang w:val="en-US"/>
        </w:rPr>
      </w:pPr>
      <w:r w:rsidRPr="001F5DFD">
        <w:rPr>
          <w:i/>
          <w:sz w:val="28"/>
          <w:szCs w:val="28"/>
          <w:lang w:val="en-US"/>
        </w:rPr>
        <w:t xml:space="preserve"> </w:t>
      </w:r>
      <w:r w:rsidR="00D43568" w:rsidRPr="001F5DFD">
        <w:rPr>
          <w:i/>
          <w:sz w:val="28"/>
          <w:szCs w:val="28"/>
          <w:lang w:val="en-US"/>
        </w:rPr>
        <w:t>(Ban hành kèm theo Thông báo số</w:t>
      </w:r>
      <w:r w:rsidR="001F1EAF">
        <w:rPr>
          <w:i/>
          <w:sz w:val="28"/>
          <w:szCs w:val="28"/>
          <w:lang w:val="en-US"/>
        </w:rPr>
        <w:t>: 42</w:t>
      </w:r>
      <w:r w:rsidR="00D43568" w:rsidRPr="001F5DFD">
        <w:rPr>
          <w:i/>
          <w:sz w:val="28"/>
          <w:szCs w:val="28"/>
          <w:lang w:val="en-US"/>
        </w:rPr>
        <w:t>/TB-CAT-PX01, ngày</w:t>
      </w:r>
      <w:r w:rsidR="001F1EAF">
        <w:rPr>
          <w:i/>
          <w:sz w:val="28"/>
          <w:szCs w:val="28"/>
          <w:lang w:val="en-US"/>
        </w:rPr>
        <w:t xml:space="preserve"> 06</w:t>
      </w:r>
      <w:bookmarkStart w:id="0" w:name="_GoBack"/>
      <w:bookmarkEnd w:id="0"/>
      <w:r w:rsidRPr="001F5DFD">
        <w:rPr>
          <w:i/>
          <w:sz w:val="28"/>
          <w:szCs w:val="28"/>
          <w:lang w:val="en-US"/>
        </w:rPr>
        <w:t>/</w:t>
      </w:r>
      <w:r w:rsidR="006067A2">
        <w:rPr>
          <w:i/>
          <w:sz w:val="28"/>
          <w:szCs w:val="28"/>
          <w:lang w:val="en-US"/>
        </w:rPr>
        <w:t>10</w:t>
      </w:r>
      <w:r w:rsidRPr="001F5DFD">
        <w:rPr>
          <w:i/>
          <w:sz w:val="28"/>
          <w:szCs w:val="28"/>
          <w:lang w:val="en-US"/>
        </w:rPr>
        <w:t xml:space="preserve">/2021 </w:t>
      </w:r>
      <w:r w:rsidR="00D43568" w:rsidRPr="001F5DFD">
        <w:rPr>
          <w:i/>
          <w:sz w:val="28"/>
          <w:szCs w:val="28"/>
          <w:lang w:val="en-US"/>
        </w:rPr>
        <w:t>của Công an tỉnh).</w:t>
      </w:r>
    </w:p>
    <w:p w:rsidR="00487AB0" w:rsidRPr="001F5DFD" w:rsidRDefault="00487AB0" w:rsidP="00D43568">
      <w:pPr>
        <w:spacing w:after="0" w:line="240" w:lineRule="auto"/>
        <w:jc w:val="center"/>
        <w:rPr>
          <w:i/>
          <w:sz w:val="28"/>
          <w:szCs w:val="28"/>
          <w:lang w:val="en-US"/>
        </w:rPr>
      </w:pPr>
    </w:p>
    <w:tbl>
      <w:tblPr>
        <w:tblStyle w:val="TableGrid"/>
        <w:tblW w:w="14885" w:type="dxa"/>
        <w:tblInd w:w="-459" w:type="dxa"/>
        <w:tblLook w:val="04A0" w:firstRow="1" w:lastRow="0" w:firstColumn="1" w:lastColumn="0" w:noHBand="0" w:noVBand="1"/>
      </w:tblPr>
      <w:tblGrid>
        <w:gridCol w:w="675"/>
        <w:gridCol w:w="1452"/>
        <w:gridCol w:w="3969"/>
        <w:gridCol w:w="8789"/>
      </w:tblGrid>
      <w:tr w:rsidR="001F5DFD" w:rsidRPr="001F5DFD" w:rsidTr="00D41D03">
        <w:trPr>
          <w:cantSplit/>
          <w:tblHeader/>
        </w:trPr>
        <w:tc>
          <w:tcPr>
            <w:tcW w:w="675" w:type="dxa"/>
            <w:vAlign w:val="center"/>
          </w:tcPr>
          <w:p w:rsidR="00D43568" w:rsidRPr="001F5DFD" w:rsidRDefault="00D43568" w:rsidP="00D41D03">
            <w:pPr>
              <w:jc w:val="center"/>
              <w:rPr>
                <w:b/>
                <w:sz w:val="26"/>
                <w:szCs w:val="26"/>
                <w:lang w:val="en-US"/>
              </w:rPr>
            </w:pPr>
            <w:r w:rsidRPr="001F5DFD">
              <w:rPr>
                <w:b/>
                <w:sz w:val="26"/>
                <w:szCs w:val="26"/>
                <w:lang w:val="en-US"/>
              </w:rPr>
              <w:t>TT</w:t>
            </w:r>
          </w:p>
        </w:tc>
        <w:tc>
          <w:tcPr>
            <w:tcW w:w="1452" w:type="dxa"/>
            <w:vAlign w:val="center"/>
          </w:tcPr>
          <w:p w:rsidR="00D43568" w:rsidRPr="001F5DFD" w:rsidRDefault="00D43568" w:rsidP="00D41D03">
            <w:pPr>
              <w:jc w:val="center"/>
              <w:rPr>
                <w:b/>
                <w:sz w:val="26"/>
                <w:szCs w:val="26"/>
                <w:lang w:val="en-US"/>
              </w:rPr>
            </w:pPr>
            <w:r w:rsidRPr="001F5DFD">
              <w:rPr>
                <w:b/>
                <w:sz w:val="26"/>
                <w:szCs w:val="26"/>
                <w:lang w:val="en-US"/>
              </w:rPr>
              <w:t>Mã ngành</w:t>
            </w:r>
          </w:p>
        </w:tc>
        <w:tc>
          <w:tcPr>
            <w:tcW w:w="3969" w:type="dxa"/>
            <w:vAlign w:val="center"/>
          </w:tcPr>
          <w:p w:rsidR="00D43568" w:rsidRPr="001F5DFD" w:rsidRDefault="00D43568" w:rsidP="00D41D03">
            <w:pPr>
              <w:jc w:val="center"/>
              <w:rPr>
                <w:b/>
                <w:sz w:val="26"/>
                <w:szCs w:val="26"/>
                <w:lang w:val="en-US"/>
              </w:rPr>
            </w:pPr>
            <w:r w:rsidRPr="001F5DFD">
              <w:rPr>
                <w:b/>
                <w:sz w:val="26"/>
                <w:szCs w:val="26"/>
                <w:lang w:val="en-US"/>
              </w:rPr>
              <w:t xml:space="preserve">Tên ngành </w:t>
            </w:r>
            <w:r w:rsidR="00135B47" w:rsidRPr="001F5DFD">
              <w:rPr>
                <w:b/>
                <w:sz w:val="26"/>
                <w:szCs w:val="26"/>
                <w:lang w:val="en-US"/>
              </w:rPr>
              <w:t>tốt nghiệp</w:t>
            </w:r>
          </w:p>
        </w:tc>
        <w:tc>
          <w:tcPr>
            <w:tcW w:w="8789" w:type="dxa"/>
            <w:vAlign w:val="center"/>
          </w:tcPr>
          <w:p w:rsidR="00D43568" w:rsidRPr="001F5DFD" w:rsidRDefault="00135B47" w:rsidP="00D41D03">
            <w:pPr>
              <w:jc w:val="center"/>
              <w:rPr>
                <w:b/>
                <w:sz w:val="26"/>
                <w:szCs w:val="26"/>
                <w:lang w:val="en-US"/>
              </w:rPr>
            </w:pPr>
            <w:r w:rsidRPr="001F5DFD">
              <w:rPr>
                <w:b/>
                <w:sz w:val="26"/>
                <w:szCs w:val="26"/>
                <w:lang w:val="en-US"/>
              </w:rPr>
              <w:t>Trường đã tốt nghiệp</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lang w:val="en-US"/>
              </w:rPr>
            </w:pPr>
          </w:p>
        </w:tc>
        <w:tc>
          <w:tcPr>
            <w:tcW w:w="1452" w:type="dxa"/>
            <w:vAlign w:val="center"/>
          </w:tcPr>
          <w:p w:rsidR="00B822F8" w:rsidRPr="001F5DFD" w:rsidRDefault="00B822F8" w:rsidP="00D41D03">
            <w:pPr>
              <w:jc w:val="center"/>
              <w:rPr>
                <w:sz w:val="26"/>
                <w:szCs w:val="26"/>
              </w:rPr>
            </w:pPr>
            <w:r w:rsidRPr="001F5DFD">
              <w:rPr>
                <w:sz w:val="26"/>
                <w:szCs w:val="26"/>
              </w:rPr>
              <w:t>7380101</w:t>
            </w:r>
          </w:p>
        </w:tc>
        <w:tc>
          <w:tcPr>
            <w:tcW w:w="3969" w:type="dxa"/>
            <w:vAlign w:val="center"/>
          </w:tcPr>
          <w:p w:rsidR="00B822F8" w:rsidRPr="001F5DFD" w:rsidRDefault="00B822F8" w:rsidP="00D41D03">
            <w:pPr>
              <w:rPr>
                <w:sz w:val="26"/>
                <w:szCs w:val="26"/>
              </w:rPr>
            </w:pPr>
            <w:r w:rsidRPr="001F5DFD">
              <w:rPr>
                <w:sz w:val="26"/>
                <w:szCs w:val="26"/>
              </w:rPr>
              <w:t>Luật</w:t>
            </w:r>
          </w:p>
        </w:tc>
        <w:tc>
          <w:tcPr>
            <w:tcW w:w="8789" w:type="dxa"/>
            <w:vMerge w:val="restart"/>
            <w:vAlign w:val="center"/>
          </w:tcPr>
          <w:p w:rsidR="001A169E" w:rsidRPr="001F5DFD" w:rsidRDefault="00B804B9" w:rsidP="007E7970">
            <w:pPr>
              <w:jc w:val="both"/>
              <w:rPr>
                <w:sz w:val="26"/>
                <w:szCs w:val="26"/>
                <w:lang w:val="en-US"/>
              </w:rPr>
            </w:pPr>
            <w:r w:rsidRPr="001F5DFD">
              <w:rPr>
                <w:sz w:val="26"/>
                <w:szCs w:val="26"/>
              </w:rPr>
              <w:t xml:space="preserve">1. Học viện CSND, 2. Học viện ANND, 3. </w:t>
            </w:r>
            <w:r w:rsidRPr="001F5DFD">
              <w:rPr>
                <w:sz w:val="26"/>
                <w:szCs w:val="26"/>
                <w:lang w:val="en-US"/>
              </w:rPr>
              <w:t>ĐH Quốc gia Hà Nội, 4. ĐH Quốc gia TP Hồ Chí Minh, 5. ĐH Luật Hà Nội, 6. ĐH Luật TP Hồ Chí Minh, 7. ĐH Đà Nẵng</w:t>
            </w:r>
            <w:r w:rsidR="001A169E" w:rsidRPr="001F5DFD">
              <w:rPr>
                <w:sz w:val="26"/>
                <w:szCs w:val="26"/>
                <w:lang w:val="en-US"/>
              </w:rPr>
              <w:t>, 8.  ĐH Cần Thơ, 9. ĐH Tôn Đức Thắng, 10. ĐH Mở TP Hồ Chí Minh, 11. ĐH Kinh tế TP Hồ Chí Minh, 12. ĐH Sài Gòn, 13. ĐH Ngân hàng TP Hồ Chí Minh, 13. ĐH Thái Nguyên, 14. ĐH Huế, 15. ĐH Kiểm sát Hà Nội, 16. Học viện Tòa án, 17. ĐH Ngoại thương, 18. ĐH Vinh.</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lang w:val="en-US"/>
              </w:rPr>
            </w:pPr>
          </w:p>
        </w:tc>
        <w:tc>
          <w:tcPr>
            <w:tcW w:w="1452" w:type="dxa"/>
            <w:vAlign w:val="center"/>
          </w:tcPr>
          <w:p w:rsidR="00B822F8" w:rsidRPr="001F5DFD" w:rsidRDefault="00B822F8" w:rsidP="00D41D03">
            <w:pPr>
              <w:jc w:val="center"/>
              <w:rPr>
                <w:sz w:val="26"/>
                <w:szCs w:val="26"/>
              </w:rPr>
            </w:pPr>
            <w:r w:rsidRPr="001F5DFD">
              <w:rPr>
                <w:sz w:val="26"/>
                <w:szCs w:val="26"/>
              </w:rPr>
              <w:t>7380102</w:t>
            </w:r>
          </w:p>
        </w:tc>
        <w:tc>
          <w:tcPr>
            <w:tcW w:w="3969" w:type="dxa"/>
            <w:vAlign w:val="center"/>
          </w:tcPr>
          <w:p w:rsidR="00B822F8" w:rsidRPr="001F5DFD" w:rsidRDefault="00B822F8" w:rsidP="00D41D03">
            <w:pPr>
              <w:rPr>
                <w:sz w:val="26"/>
                <w:szCs w:val="26"/>
              </w:rPr>
            </w:pPr>
            <w:r w:rsidRPr="001F5DFD">
              <w:rPr>
                <w:sz w:val="26"/>
                <w:szCs w:val="26"/>
              </w:rPr>
              <w:t>Luật hiến pháp và hành chính</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7380103</w:t>
            </w:r>
          </w:p>
        </w:tc>
        <w:tc>
          <w:tcPr>
            <w:tcW w:w="3969" w:type="dxa"/>
            <w:vAlign w:val="center"/>
          </w:tcPr>
          <w:p w:rsidR="00B822F8" w:rsidRPr="001F5DFD" w:rsidRDefault="00B822F8" w:rsidP="00D41D03">
            <w:pPr>
              <w:rPr>
                <w:sz w:val="26"/>
                <w:szCs w:val="26"/>
              </w:rPr>
            </w:pPr>
            <w:r w:rsidRPr="001F5DFD">
              <w:rPr>
                <w:sz w:val="26"/>
                <w:szCs w:val="26"/>
              </w:rPr>
              <w:t>Luật dân sự và tố tụng dân sự</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7380104</w:t>
            </w:r>
          </w:p>
        </w:tc>
        <w:tc>
          <w:tcPr>
            <w:tcW w:w="3969" w:type="dxa"/>
            <w:vAlign w:val="center"/>
          </w:tcPr>
          <w:p w:rsidR="00B822F8" w:rsidRPr="001F5DFD" w:rsidRDefault="00B822F8" w:rsidP="00D41D03">
            <w:pPr>
              <w:rPr>
                <w:sz w:val="26"/>
                <w:szCs w:val="26"/>
              </w:rPr>
            </w:pPr>
            <w:r w:rsidRPr="001F5DFD">
              <w:rPr>
                <w:sz w:val="26"/>
                <w:szCs w:val="26"/>
              </w:rPr>
              <w:t>Luật hình sự và tố tụng hình sự</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7380107</w:t>
            </w:r>
          </w:p>
        </w:tc>
        <w:tc>
          <w:tcPr>
            <w:tcW w:w="3969" w:type="dxa"/>
            <w:vAlign w:val="center"/>
          </w:tcPr>
          <w:p w:rsidR="00B822F8" w:rsidRPr="001F5DFD" w:rsidRDefault="00B822F8" w:rsidP="00D41D03">
            <w:pPr>
              <w:rPr>
                <w:sz w:val="26"/>
                <w:szCs w:val="26"/>
              </w:rPr>
            </w:pPr>
            <w:r w:rsidRPr="001F5DFD">
              <w:rPr>
                <w:sz w:val="26"/>
                <w:szCs w:val="26"/>
              </w:rPr>
              <w:t>Luật kinh tế</w:t>
            </w:r>
          </w:p>
        </w:tc>
        <w:tc>
          <w:tcPr>
            <w:tcW w:w="8789" w:type="dxa"/>
            <w:vMerge/>
            <w:vAlign w:val="center"/>
          </w:tcPr>
          <w:p w:rsidR="00B822F8" w:rsidRPr="001F5DFD" w:rsidRDefault="00B822F8" w:rsidP="007E7970">
            <w:pPr>
              <w:jc w:val="both"/>
              <w:rPr>
                <w:sz w:val="26"/>
                <w:szCs w:val="26"/>
                <w:lang w:val="en-US"/>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lang w:val="en-US"/>
              </w:rPr>
            </w:pPr>
          </w:p>
        </w:tc>
        <w:tc>
          <w:tcPr>
            <w:tcW w:w="1452" w:type="dxa"/>
            <w:vAlign w:val="center"/>
          </w:tcPr>
          <w:p w:rsidR="00B822F8" w:rsidRPr="001F5DFD" w:rsidRDefault="00B822F8" w:rsidP="00D41D03">
            <w:pPr>
              <w:jc w:val="center"/>
              <w:rPr>
                <w:sz w:val="26"/>
                <w:szCs w:val="26"/>
              </w:rPr>
            </w:pPr>
            <w:r w:rsidRPr="001F5DFD">
              <w:rPr>
                <w:sz w:val="26"/>
                <w:szCs w:val="26"/>
              </w:rPr>
              <w:t>7380108</w:t>
            </w:r>
          </w:p>
        </w:tc>
        <w:tc>
          <w:tcPr>
            <w:tcW w:w="3969" w:type="dxa"/>
            <w:vAlign w:val="center"/>
          </w:tcPr>
          <w:p w:rsidR="00B822F8" w:rsidRPr="001F5DFD" w:rsidRDefault="00B822F8" w:rsidP="00D41D03">
            <w:pPr>
              <w:rPr>
                <w:sz w:val="26"/>
                <w:szCs w:val="26"/>
              </w:rPr>
            </w:pPr>
            <w:r w:rsidRPr="001F5DFD">
              <w:rPr>
                <w:sz w:val="26"/>
                <w:szCs w:val="26"/>
              </w:rPr>
              <w:t>Luật quốc tế</w:t>
            </w:r>
          </w:p>
        </w:tc>
        <w:tc>
          <w:tcPr>
            <w:tcW w:w="8789" w:type="dxa"/>
            <w:vMerge/>
            <w:vAlign w:val="center"/>
          </w:tcPr>
          <w:p w:rsidR="00B822F8" w:rsidRPr="001F5DFD" w:rsidRDefault="00B822F8" w:rsidP="007E7970">
            <w:pPr>
              <w:jc w:val="both"/>
              <w:rPr>
                <w:sz w:val="26"/>
                <w:szCs w:val="26"/>
                <w:lang w:val="en-US"/>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lang w:val="en-US"/>
              </w:rPr>
            </w:pPr>
          </w:p>
        </w:tc>
        <w:tc>
          <w:tcPr>
            <w:tcW w:w="1452" w:type="dxa"/>
            <w:vAlign w:val="center"/>
          </w:tcPr>
          <w:p w:rsidR="00B822F8" w:rsidRPr="001F5DFD" w:rsidRDefault="00B822F8" w:rsidP="00D41D03">
            <w:pPr>
              <w:jc w:val="center"/>
              <w:rPr>
                <w:sz w:val="26"/>
                <w:szCs w:val="26"/>
              </w:rPr>
            </w:pPr>
            <w:r w:rsidRPr="001F5DFD">
              <w:rPr>
                <w:sz w:val="26"/>
                <w:szCs w:val="26"/>
              </w:rPr>
              <w:t>7310101</w:t>
            </w:r>
          </w:p>
        </w:tc>
        <w:tc>
          <w:tcPr>
            <w:tcW w:w="3969" w:type="dxa"/>
            <w:vAlign w:val="center"/>
          </w:tcPr>
          <w:p w:rsidR="00B822F8" w:rsidRPr="001F5DFD" w:rsidRDefault="00B822F8" w:rsidP="00D41D03">
            <w:pPr>
              <w:rPr>
                <w:sz w:val="26"/>
                <w:szCs w:val="26"/>
              </w:rPr>
            </w:pPr>
            <w:r w:rsidRPr="001F5DFD">
              <w:rPr>
                <w:sz w:val="26"/>
                <w:szCs w:val="26"/>
              </w:rPr>
              <w:t>Kinh tế</w:t>
            </w:r>
          </w:p>
        </w:tc>
        <w:tc>
          <w:tcPr>
            <w:tcW w:w="8789" w:type="dxa"/>
            <w:vMerge w:val="restart"/>
            <w:vAlign w:val="center"/>
          </w:tcPr>
          <w:p w:rsidR="001A169E" w:rsidRPr="001F5DFD" w:rsidRDefault="001A169E" w:rsidP="007E7970">
            <w:pPr>
              <w:jc w:val="both"/>
              <w:rPr>
                <w:sz w:val="26"/>
                <w:szCs w:val="26"/>
                <w:lang w:val="en-US"/>
              </w:rPr>
            </w:pPr>
            <w:r w:rsidRPr="001F5DFD">
              <w:rPr>
                <w:sz w:val="26"/>
                <w:szCs w:val="26"/>
              </w:rPr>
              <w:t xml:space="preserve">1. </w:t>
            </w:r>
            <w:r w:rsidRPr="001F5DFD">
              <w:rPr>
                <w:sz w:val="26"/>
                <w:szCs w:val="26"/>
                <w:lang w:val="en-US"/>
              </w:rPr>
              <w:t>ĐH</w:t>
            </w:r>
            <w:r w:rsidRPr="001F5DFD">
              <w:rPr>
                <w:sz w:val="26"/>
                <w:szCs w:val="26"/>
              </w:rPr>
              <w:t xml:space="preserve"> Quốc gia Hà Nội</w:t>
            </w:r>
            <w:r w:rsidRPr="001F5DFD">
              <w:rPr>
                <w:sz w:val="26"/>
                <w:szCs w:val="26"/>
                <w:lang w:val="en-US"/>
              </w:rPr>
              <w:t>,</w:t>
            </w:r>
            <w:r w:rsidRPr="001F5DFD">
              <w:rPr>
                <w:sz w:val="26"/>
                <w:szCs w:val="26"/>
              </w:rPr>
              <w:t xml:space="preserve"> 2. </w:t>
            </w:r>
            <w:r w:rsidRPr="001F5DFD">
              <w:rPr>
                <w:sz w:val="26"/>
                <w:szCs w:val="26"/>
                <w:lang w:val="en-US"/>
              </w:rPr>
              <w:t>ĐH</w:t>
            </w:r>
            <w:r w:rsidRPr="001F5DFD">
              <w:rPr>
                <w:sz w:val="26"/>
                <w:szCs w:val="26"/>
              </w:rPr>
              <w:t xml:space="preserve"> Quốc gia TP Hồ Chí Minh</w:t>
            </w:r>
            <w:r w:rsidRPr="001F5DFD">
              <w:rPr>
                <w:sz w:val="26"/>
                <w:szCs w:val="26"/>
                <w:lang w:val="en-US"/>
              </w:rPr>
              <w:t>,</w:t>
            </w:r>
            <w:r w:rsidRPr="001F5DFD">
              <w:rPr>
                <w:sz w:val="26"/>
                <w:szCs w:val="26"/>
              </w:rPr>
              <w:t xml:space="preserve"> 3. ĐH Kinh tế quốc dân</w:t>
            </w:r>
            <w:r w:rsidR="00727932" w:rsidRPr="001F5DFD">
              <w:rPr>
                <w:sz w:val="26"/>
                <w:szCs w:val="26"/>
              </w:rPr>
              <w:t>,</w:t>
            </w:r>
            <w:r w:rsidRPr="001F5DFD">
              <w:rPr>
                <w:sz w:val="26"/>
                <w:szCs w:val="26"/>
              </w:rPr>
              <w:t xml:space="preserve"> 4. ĐH Kinh tế TP Hồ Chí Minh</w:t>
            </w:r>
            <w:r w:rsidR="00727932" w:rsidRPr="001F5DFD">
              <w:rPr>
                <w:sz w:val="26"/>
                <w:szCs w:val="26"/>
              </w:rPr>
              <w:t>,</w:t>
            </w:r>
            <w:r w:rsidRPr="001F5DFD">
              <w:rPr>
                <w:sz w:val="26"/>
                <w:szCs w:val="26"/>
              </w:rPr>
              <w:t xml:space="preserve"> 5. ĐH Ngoạ</w:t>
            </w:r>
            <w:r w:rsidR="00727932" w:rsidRPr="001F5DFD">
              <w:rPr>
                <w:sz w:val="26"/>
                <w:szCs w:val="26"/>
              </w:rPr>
              <w:t>i thương,</w:t>
            </w:r>
            <w:r w:rsidRPr="001F5DFD">
              <w:rPr>
                <w:sz w:val="26"/>
                <w:szCs w:val="26"/>
              </w:rPr>
              <w:t xml:space="preserve"> 6. ĐH Thương mạ</w:t>
            </w:r>
            <w:r w:rsidR="00727932" w:rsidRPr="001F5DFD">
              <w:rPr>
                <w:sz w:val="26"/>
                <w:szCs w:val="26"/>
              </w:rPr>
              <w:t>i,</w:t>
            </w:r>
            <w:r w:rsidRPr="001F5DFD">
              <w:rPr>
                <w:sz w:val="26"/>
                <w:szCs w:val="26"/>
              </w:rPr>
              <w:t xml:space="preserve"> 7. Học viện</w:t>
            </w:r>
            <w:r w:rsidR="00727932" w:rsidRPr="001F5DFD">
              <w:rPr>
                <w:sz w:val="26"/>
                <w:szCs w:val="26"/>
              </w:rPr>
              <w:t xml:space="preserve"> Tài chính,</w:t>
            </w:r>
            <w:r w:rsidRPr="001F5DFD">
              <w:rPr>
                <w:sz w:val="26"/>
                <w:szCs w:val="26"/>
              </w:rPr>
              <w:t xml:space="preserve"> 8</w:t>
            </w:r>
            <w:r w:rsidR="00727932" w:rsidRPr="001F5DFD">
              <w:rPr>
                <w:sz w:val="26"/>
                <w:szCs w:val="26"/>
              </w:rPr>
              <w:t>.</w:t>
            </w:r>
            <w:r w:rsidRPr="001F5DFD">
              <w:rPr>
                <w:sz w:val="26"/>
                <w:szCs w:val="26"/>
              </w:rPr>
              <w:t xml:space="preserve"> ĐH Đà Nẵ</w:t>
            </w:r>
            <w:r w:rsidR="00727932" w:rsidRPr="001F5DFD">
              <w:rPr>
                <w:sz w:val="26"/>
                <w:szCs w:val="26"/>
              </w:rPr>
              <w:t>ng,</w:t>
            </w:r>
            <w:r w:rsidRPr="001F5DFD">
              <w:rPr>
                <w:sz w:val="26"/>
                <w:szCs w:val="26"/>
              </w:rPr>
              <w:t xml:space="preserve"> 9. ĐH Thái Nguyên</w:t>
            </w:r>
            <w:r w:rsidR="00727932" w:rsidRPr="001F5DFD">
              <w:rPr>
                <w:sz w:val="26"/>
                <w:szCs w:val="26"/>
              </w:rPr>
              <w:t>,</w:t>
            </w:r>
            <w:r w:rsidRPr="001F5DFD">
              <w:rPr>
                <w:sz w:val="26"/>
                <w:szCs w:val="26"/>
              </w:rPr>
              <w:t xml:space="preserve"> 10. ĐH Mở TP Hồ</w:t>
            </w:r>
            <w:r w:rsidR="00727932" w:rsidRPr="001F5DFD">
              <w:rPr>
                <w:sz w:val="26"/>
                <w:szCs w:val="26"/>
              </w:rPr>
              <w:t xml:space="preserve"> Chí Minh,</w:t>
            </w:r>
            <w:r w:rsidRPr="001F5DFD">
              <w:rPr>
                <w:sz w:val="26"/>
                <w:szCs w:val="26"/>
              </w:rPr>
              <w:t xml:space="preserve"> 11. ĐH Ngân hàng TP Hồ</w:t>
            </w:r>
            <w:r w:rsidR="00727932" w:rsidRPr="001F5DFD">
              <w:rPr>
                <w:sz w:val="26"/>
                <w:szCs w:val="26"/>
              </w:rPr>
              <w:t xml:space="preserve"> Chí Minh, 12. </w:t>
            </w:r>
            <w:r w:rsidR="00D726D2" w:rsidRPr="001F5DFD">
              <w:rPr>
                <w:sz w:val="26"/>
                <w:szCs w:val="26"/>
              </w:rPr>
              <w:t>ĐH</w:t>
            </w:r>
            <w:r w:rsidR="00727932" w:rsidRPr="001F5DFD">
              <w:rPr>
                <w:sz w:val="26"/>
                <w:szCs w:val="26"/>
              </w:rPr>
              <w:t xml:space="preserve"> Huế, 13. </w:t>
            </w:r>
            <w:r w:rsidR="00D726D2" w:rsidRPr="001F5DFD">
              <w:rPr>
                <w:sz w:val="26"/>
                <w:szCs w:val="26"/>
              </w:rPr>
              <w:t>ĐH</w:t>
            </w:r>
            <w:r w:rsidR="00727932" w:rsidRPr="001F5DFD">
              <w:rPr>
                <w:sz w:val="26"/>
                <w:szCs w:val="26"/>
              </w:rPr>
              <w:t xml:space="preserve"> Tôn Đức Thắng, 14. Học viện Ngân hàng, 15. Đại học RMIT, 16. </w:t>
            </w:r>
            <w:r w:rsidR="00D726D2" w:rsidRPr="001F5DFD">
              <w:rPr>
                <w:sz w:val="26"/>
                <w:szCs w:val="26"/>
                <w:lang w:val="en-US"/>
              </w:rPr>
              <w:t>ĐH</w:t>
            </w:r>
            <w:r w:rsidR="00727932" w:rsidRPr="001F5DFD">
              <w:rPr>
                <w:sz w:val="26"/>
                <w:szCs w:val="26"/>
              </w:rPr>
              <w:t xml:space="preserve"> Vinh.</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7310102</w:t>
            </w:r>
          </w:p>
        </w:tc>
        <w:tc>
          <w:tcPr>
            <w:tcW w:w="3969" w:type="dxa"/>
            <w:vAlign w:val="center"/>
          </w:tcPr>
          <w:p w:rsidR="00B822F8" w:rsidRPr="001F5DFD" w:rsidRDefault="00B822F8" w:rsidP="00D41D03">
            <w:pPr>
              <w:rPr>
                <w:sz w:val="26"/>
                <w:szCs w:val="26"/>
              </w:rPr>
            </w:pPr>
            <w:r w:rsidRPr="001F5DFD">
              <w:rPr>
                <w:sz w:val="26"/>
                <w:szCs w:val="26"/>
              </w:rPr>
              <w:t>Kinh tế chính trị</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7310104</w:t>
            </w:r>
          </w:p>
        </w:tc>
        <w:tc>
          <w:tcPr>
            <w:tcW w:w="3969" w:type="dxa"/>
            <w:vAlign w:val="center"/>
          </w:tcPr>
          <w:p w:rsidR="00B822F8" w:rsidRPr="001F5DFD" w:rsidRDefault="00B822F8" w:rsidP="00D41D03">
            <w:pPr>
              <w:rPr>
                <w:sz w:val="26"/>
                <w:szCs w:val="26"/>
              </w:rPr>
            </w:pPr>
            <w:r w:rsidRPr="001F5DFD">
              <w:rPr>
                <w:sz w:val="26"/>
                <w:szCs w:val="26"/>
              </w:rPr>
              <w:t>Kinh tế đầu tư</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7310105</w:t>
            </w:r>
          </w:p>
        </w:tc>
        <w:tc>
          <w:tcPr>
            <w:tcW w:w="3969" w:type="dxa"/>
            <w:vAlign w:val="center"/>
          </w:tcPr>
          <w:p w:rsidR="00B822F8" w:rsidRPr="001F5DFD" w:rsidRDefault="00B822F8" w:rsidP="00D41D03">
            <w:pPr>
              <w:rPr>
                <w:sz w:val="26"/>
                <w:szCs w:val="26"/>
              </w:rPr>
            </w:pPr>
            <w:r w:rsidRPr="001F5DFD">
              <w:rPr>
                <w:sz w:val="26"/>
                <w:szCs w:val="26"/>
              </w:rPr>
              <w:t>Kinh tế phát triển</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7310106</w:t>
            </w:r>
          </w:p>
        </w:tc>
        <w:tc>
          <w:tcPr>
            <w:tcW w:w="3969" w:type="dxa"/>
            <w:vAlign w:val="center"/>
          </w:tcPr>
          <w:p w:rsidR="00B822F8" w:rsidRPr="001F5DFD" w:rsidRDefault="00B822F8" w:rsidP="00D41D03">
            <w:pPr>
              <w:rPr>
                <w:sz w:val="26"/>
                <w:szCs w:val="26"/>
              </w:rPr>
            </w:pPr>
            <w:r w:rsidRPr="001F5DFD">
              <w:rPr>
                <w:sz w:val="26"/>
                <w:szCs w:val="26"/>
              </w:rPr>
              <w:t>Kinh tế quốc tế</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Height w:val="654"/>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7310205</w:t>
            </w:r>
          </w:p>
        </w:tc>
        <w:tc>
          <w:tcPr>
            <w:tcW w:w="3969" w:type="dxa"/>
            <w:vAlign w:val="center"/>
          </w:tcPr>
          <w:p w:rsidR="00B822F8" w:rsidRPr="001F5DFD" w:rsidRDefault="00B822F8" w:rsidP="00D41D03">
            <w:pPr>
              <w:rPr>
                <w:sz w:val="26"/>
                <w:szCs w:val="26"/>
              </w:rPr>
            </w:pPr>
            <w:r w:rsidRPr="001F5DFD">
              <w:rPr>
                <w:sz w:val="26"/>
                <w:szCs w:val="26"/>
              </w:rPr>
              <w:t>Quản lý nhà nước</w:t>
            </w:r>
          </w:p>
        </w:tc>
        <w:tc>
          <w:tcPr>
            <w:tcW w:w="8789" w:type="dxa"/>
            <w:vMerge w:val="restart"/>
            <w:vAlign w:val="center"/>
          </w:tcPr>
          <w:p w:rsidR="00B822F8" w:rsidRPr="001F5DFD" w:rsidRDefault="00727932" w:rsidP="007E7970">
            <w:pPr>
              <w:jc w:val="both"/>
              <w:rPr>
                <w:sz w:val="26"/>
                <w:szCs w:val="26"/>
                <w:lang w:val="en-US"/>
              </w:rPr>
            </w:pPr>
            <w:r w:rsidRPr="001F5DFD">
              <w:rPr>
                <w:rFonts w:eastAsia="Times New Roman" w:cs="Times New Roman"/>
                <w:sz w:val="26"/>
                <w:szCs w:val="26"/>
                <w:lang w:val="en-US" w:eastAsia="vi-VN"/>
              </w:rPr>
              <w:t>1</w:t>
            </w:r>
            <w:r w:rsidRPr="001F5DFD">
              <w:rPr>
                <w:sz w:val="26"/>
                <w:szCs w:val="26"/>
              </w:rPr>
              <w:t>. ĐH Quốc gia Hà Nội, 2. ĐH Quốc gia TP Hồ Chí Minh; 3. ĐH Huế, 4. ĐH Thái Nguyên, 5. ĐH Đà Nẵng, 6. Học viện Báo chí và Tuyên truyền, 7. Học viện Ngoại giao, 8. Học viện Hành chính Quốc gia, 9. ĐH Vinh, 10. ĐH Nội vụ</w:t>
            </w:r>
            <w:r w:rsidR="00B5383C" w:rsidRPr="001F5DFD">
              <w:rPr>
                <w:sz w:val="26"/>
                <w:szCs w:val="26"/>
                <w:lang w:val="en-US"/>
              </w:rPr>
              <w:t>.</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7310206</w:t>
            </w:r>
          </w:p>
        </w:tc>
        <w:tc>
          <w:tcPr>
            <w:tcW w:w="3969" w:type="dxa"/>
            <w:vAlign w:val="center"/>
          </w:tcPr>
          <w:p w:rsidR="00B822F8" w:rsidRPr="001F5DFD" w:rsidRDefault="00B822F8" w:rsidP="00D41D03">
            <w:pPr>
              <w:rPr>
                <w:sz w:val="26"/>
                <w:szCs w:val="26"/>
              </w:rPr>
            </w:pPr>
            <w:r w:rsidRPr="001F5DFD">
              <w:rPr>
                <w:sz w:val="26"/>
                <w:szCs w:val="26"/>
              </w:rPr>
              <w:t>Quan hệ quốc tế</w:t>
            </w:r>
          </w:p>
        </w:tc>
        <w:tc>
          <w:tcPr>
            <w:tcW w:w="8789" w:type="dxa"/>
            <w:vMerge/>
            <w:vAlign w:val="center"/>
          </w:tcPr>
          <w:p w:rsidR="00B822F8" w:rsidRPr="001F5DFD" w:rsidRDefault="00B822F8" w:rsidP="007E7970">
            <w:pPr>
              <w:jc w:val="both"/>
              <w:rPr>
                <w:sz w:val="26"/>
                <w:szCs w:val="26"/>
                <w:lang w:val="en-US"/>
              </w:rPr>
            </w:pPr>
          </w:p>
        </w:tc>
      </w:tr>
      <w:tr w:rsidR="001F5DFD" w:rsidRPr="001F5DFD" w:rsidTr="006E33D9">
        <w:trPr>
          <w:cantSplit/>
          <w:trHeight w:val="541"/>
        </w:trPr>
        <w:tc>
          <w:tcPr>
            <w:tcW w:w="675" w:type="dxa"/>
            <w:vAlign w:val="center"/>
          </w:tcPr>
          <w:p w:rsidR="00B822F8" w:rsidRPr="001F5DFD" w:rsidRDefault="00B822F8" w:rsidP="00D41D03">
            <w:pPr>
              <w:pStyle w:val="ListParagraph"/>
              <w:numPr>
                <w:ilvl w:val="0"/>
                <w:numId w:val="1"/>
              </w:numPr>
              <w:jc w:val="center"/>
              <w:rPr>
                <w:sz w:val="26"/>
                <w:szCs w:val="26"/>
                <w:lang w:val="en-US"/>
              </w:rPr>
            </w:pPr>
          </w:p>
        </w:tc>
        <w:tc>
          <w:tcPr>
            <w:tcW w:w="1452" w:type="dxa"/>
            <w:vAlign w:val="center"/>
          </w:tcPr>
          <w:p w:rsidR="00B822F8" w:rsidRPr="001F5DFD" w:rsidRDefault="00B822F8" w:rsidP="00D41D03">
            <w:pPr>
              <w:jc w:val="center"/>
              <w:rPr>
                <w:sz w:val="26"/>
                <w:szCs w:val="26"/>
              </w:rPr>
            </w:pPr>
            <w:r w:rsidRPr="001F5DFD">
              <w:rPr>
                <w:sz w:val="26"/>
                <w:szCs w:val="26"/>
              </w:rPr>
              <w:t>7310401</w:t>
            </w:r>
          </w:p>
        </w:tc>
        <w:tc>
          <w:tcPr>
            <w:tcW w:w="3969" w:type="dxa"/>
            <w:vAlign w:val="center"/>
          </w:tcPr>
          <w:p w:rsidR="00B822F8" w:rsidRPr="001F5DFD" w:rsidRDefault="00B822F8" w:rsidP="00D41D03">
            <w:pPr>
              <w:rPr>
                <w:sz w:val="26"/>
                <w:szCs w:val="26"/>
              </w:rPr>
            </w:pPr>
            <w:r w:rsidRPr="001F5DFD">
              <w:rPr>
                <w:sz w:val="26"/>
                <w:szCs w:val="26"/>
              </w:rPr>
              <w:t>Tâm lý học</w:t>
            </w:r>
          </w:p>
        </w:tc>
        <w:tc>
          <w:tcPr>
            <w:tcW w:w="8789" w:type="dxa"/>
            <w:vMerge w:val="restart"/>
            <w:vAlign w:val="center"/>
          </w:tcPr>
          <w:p w:rsidR="00B822F8" w:rsidRPr="001F5DFD" w:rsidRDefault="00D726D2" w:rsidP="007E7970">
            <w:pPr>
              <w:jc w:val="both"/>
              <w:rPr>
                <w:rFonts w:eastAsia="Times New Roman" w:cs="Times New Roman"/>
                <w:sz w:val="26"/>
                <w:szCs w:val="26"/>
                <w:lang w:val="en-US" w:eastAsia="vi-VN"/>
              </w:rPr>
            </w:pPr>
            <w:r w:rsidRPr="001F5DFD">
              <w:rPr>
                <w:rFonts w:eastAsia="Times New Roman" w:cs="Times New Roman"/>
                <w:sz w:val="26"/>
                <w:szCs w:val="26"/>
                <w:lang w:val="en-US" w:eastAsia="vi-VN"/>
              </w:rPr>
              <w:t>1. ĐH Quốc gia Hà Nội, 2. ĐH Quốc gia TP Hồ Chí Minh, 3. ĐH Huế, 4. ĐH Thái Nguyên, 5. ĐH Đà Nẵng, 6. ĐH Sư phạm Hà Nội, 7. ĐH Sư phạm Huế, 8. Học viện Quản lý giáo dục, 4. ĐH Sư phạm TP Hồ Chí Minh, 7. ĐH Sài Gòn.</w:t>
            </w:r>
          </w:p>
        </w:tc>
      </w:tr>
      <w:tr w:rsidR="001F5DFD" w:rsidRPr="001F5DFD" w:rsidTr="006E33D9">
        <w:trPr>
          <w:cantSplit/>
          <w:trHeight w:val="563"/>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7310403</w:t>
            </w:r>
          </w:p>
        </w:tc>
        <w:tc>
          <w:tcPr>
            <w:tcW w:w="3969" w:type="dxa"/>
            <w:vAlign w:val="center"/>
          </w:tcPr>
          <w:p w:rsidR="00B822F8" w:rsidRPr="001F5DFD" w:rsidRDefault="00B822F8" w:rsidP="00D41D03">
            <w:pPr>
              <w:rPr>
                <w:sz w:val="26"/>
                <w:szCs w:val="26"/>
              </w:rPr>
            </w:pPr>
            <w:r w:rsidRPr="001F5DFD">
              <w:rPr>
                <w:sz w:val="26"/>
                <w:szCs w:val="26"/>
              </w:rPr>
              <w:t>Tâm lý học giáo dục</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7320101</w:t>
            </w:r>
          </w:p>
        </w:tc>
        <w:tc>
          <w:tcPr>
            <w:tcW w:w="3969" w:type="dxa"/>
            <w:vAlign w:val="center"/>
          </w:tcPr>
          <w:p w:rsidR="00B822F8" w:rsidRPr="001F5DFD" w:rsidRDefault="00B822F8" w:rsidP="00D41D03">
            <w:pPr>
              <w:rPr>
                <w:sz w:val="26"/>
                <w:szCs w:val="26"/>
              </w:rPr>
            </w:pPr>
            <w:r w:rsidRPr="001F5DFD">
              <w:rPr>
                <w:sz w:val="26"/>
                <w:szCs w:val="26"/>
              </w:rPr>
              <w:t>Báo chí</w:t>
            </w:r>
          </w:p>
        </w:tc>
        <w:tc>
          <w:tcPr>
            <w:tcW w:w="8789" w:type="dxa"/>
            <w:vMerge w:val="restart"/>
            <w:vAlign w:val="center"/>
          </w:tcPr>
          <w:p w:rsidR="00B822F8" w:rsidRPr="001F5DFD" w:rsidRDefault="001D6AD6" w:rsidP="007E7970">
            <w:pPr>
              <w:jc w:val="both"/>
              <w:rPr>
                <w:rFonts w:eastAsia="Times New Roman" w:cs="Times New Roman"/>
                <w:sz w:val="26"/>
                <w:szCs w:val="26"/>
                <w:lang w:val="en-US" w:eastAsia="vi-VN"/>
              </w:rPr>
            </w:pPr>
            <w:r w:rsidRPr="001F5DFD">
              <w:rPr>
                <w:rFonts w:eastAsia="Times New Roman" w:cs="Times New Roman"/>
                <w:sz w:val="26"/>
                <w:szCs w:val="26"/>
                <w:lang w:val="en-US" w:eastAsia="vi-VN"/>
              </w:rPr>
              <w:t>1. ĐH Quốc gia Hà Nội, 2. ĐH Quốc gia TP Hồ Chí Minh, 3. ĐH Huế, 4. ĐH Thái Nguyên, 5. ĐH Đà Nẵng, 6. Học viện Báo chí và Tuyên truyền, 7. Học viện Ngoại giao, 8. Học viện Công nghệ và bưu chính viễn thông, 9. Đại học Vinh.</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7320104</w:t>
            </w:r>
          </w:p>
        </w:tc>
        <w:tc>
          <w:tcPr>
            <w:tcW w:w="3969" w:type="dxa"/>
            <w:vAlign w:val="center"/>
          </w:tcPr>
          <w:p w:rsidR="00B822F8" w:rsidRPr="001F5DFD" w:rsidRDefault="00B822F8" w:rsidP="00D41D03">
            <w:pPr>
              <w:rPr>
                <w:sz w:val="26"/>
                <w:szCs w:val="26"/>
              </w:rPr>
            </w:pPr>
            <w:r w:rsidRPr="001F5DFD">
              <w:rPr>
                <w:sz w:val="26"/>
                <w:szCs w:val="26"/>
              </w:rPr>
              <w:t>Truyền thông đa phương tiện</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7320105</w:t>
            </w:r>
          </w:p>
        </w:tc>
        <w:tc>
          <w:tcPr>
            <w:tcW w:w="3969" w:type="dxa"/>
            <w:vAlign w:val="center"/>
          </w:tcPr>
          <w:p w:rsidR="00B822F8" w:rsidRPr="001F5DFD" w:rsidRDefault="00B822F8" w:rsidP="00D41D03">
            <w:pPr>
              <w:rPr>
                <w:sz w:val="26"/>
                <w:szCs w:val="26"/>
              </w:rPr>
            </w:pPr>
            <w:r w:rsidRPr="001F5DFD">
              <w:rPr>
                <w:sz w:val="26"/>
                <w:szCs w:val="26"/>
              </w:rPr>
              <w:t>Truyền thông đại chúng</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7320106</w:t>
            </w:r>
          </w:p>
        </w:tc>
        <w:tc>
          <w:tcPr>
            <w:tcW w:w="3969" w:type="dxa"/>
            <w:vAlign w:val="center"/>
          </w:tcPr>
          <w:p w:rsidR="00B822F8" w:rsidRPr="001F5DFD" w:rsidRDefault="00B822F8" w:rsidP="00D41D03">
            <w:pPr>
              <w:rPr>
                <w:sz w:val="26"/>
                <w:szCs w:val="26"/>
              </w:rPr>
            </w:pPr>
            <w:r w:rsidRPr="001F5DFD">
              <w:rPr>
                <w:sz w:val="26"/>
                <w:szCs w:val="26"/>
              </w:rPr>
              <w:t>Công nghệ truyền thông</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7320107</w:t>
            </w:r>
          </w:p>
        </w:tc>
        <w:tc>
          <w:tcPr>
            <w:tcW w:w="3969" w:type="dxa"/>
            <w:vAlign w:val="center"/>
          </w:tcPr>
          <w:p w:rsidR="00B822F8" w:rsidRPr="001F5DFD" w:rsidRDefault="00B822F8" w:rsidP="00D41D03">
            <w:pPr>
              <w:rPr>
                <w:sz w:val="26"/>
                <w:szCs w:val="26"/>
              </w:rPr>
            </w:pPr>
            <w:r w:rsidRPr="001F5DFD">
              <w:rPr>
                <w:sz w:val="26"/>
                <w:szCs w:val="26"/>
              </w:rPr>
              <w:t>Truyền thông quốc tế</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7320108</w:t>
            </w:r>
          </w:p>
        </w:tc>
        <w:tc>
          <w:tcPr>
            <w:tcW w:w="3969" w:type="dxa"/>
            <w:vAlign w:val="center"/>
          </w:tcPr>
          <w:p w:rsidR="00B822F8" w:rsidRPr="001F5DFD" w:rsidRDefault="00B822F8" w:rsidP="00D41D03">
            <w:pPr>
              <w:rPr>
                <w:sz w:val="26"/>
                <w:szCs w:val="26"/>
              </w:rPr>
            </w:pPr>
            <w:r w:rsidRPr="001F5DFD">
              <w:rPr>
                <w:sz w:val="26"/>
                <w:szCs w:val="26"/>
              </w:rPr>
              <w:t>Quan hệ công chúng</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7340122</w:t>
            </w:r>
          </w:p>
        </w:tc>
        <w:tc>
          <w:tcPr>
            <w:tcW w:w="3969" w:type="dxa"/>
            <w:vAlign w:val="center"/>
          </w:tcPr>
          <w:p w:rsidR="00B822F8" w:rsidRPr="001F5DFD" w:rsidRDefault="00B822F8" w:rsidP="00D41D03">
            <w:pPr>
              <w:rPr>
                <w:sz w:val="26"/>
                <w:szCs w:val="26"/>
              </w:rPr>
            </w:pPr>
            <w:r w:rsidRPr="001F5DFD">
              <w:rPr>
                <w:sz w:val="26"/>
                <w:szCs w:val="26"/>
              </w:rPr>
              <w:t>Thương mại điện tử</w:t>
            </w:r>
          </w:p>
        </w:tc>
        <w:tc>
          <w:tcPr>
            <w:tcW w:w="8789" w:type="dxa"/>
            <w:vAlign w:val="center"/>
          </w:tcPr>
          <w:p w:rsidR="00B822F8" w:rsidRPr="001F5DFD" w:rsidRDefault="00BA210B" w:rsidP="007E7970">
            <w:pPr>
              <w:jc w:val="both"/>
              <w:rPr>
                <w:rFonts w:eastAsia="Times New Roman" w:cs="Times New Roman"/>
                <w:sz w:val="26"/>
                <w:szCs w:val="26"/>
                <w:lang w:val="en-US" w:eastAsia="vi-VN"/>
              </w:rPr>
            </w:pPr>
            <w:r w:rsidRPr="001F5DFD">
              <w:rPr>
                <w:rFonts w:eastAsia="Times New Roman" w:cs="Times New Roman"/>
                <w:sz w:val="26"/>
                <w:szCs w:val="26"/>
                <w:lang w:val="en-US" w:eastAsia="vi-VN"/>
              </w:rPr>
              <w:t>1. ĐH Quốc gia Hà Nội, 2. ĐH Ngoại thương, 3. ĐH Kinh tế quốc dân, 4. Học viện Ngân hàng, 5. ĐH Thương mại, 6. Học viện Tài chính, 7. ĐH Mở TP Hồ Chí Minh, 8. ĐH Tôn Đức Thắng, 9.  ĐH Kinh tế TP Hồ Chí Minh, 10. ĐH Sài Gòn, 11. ĐH Tài chính – Marketing, 12. ĐH Sư phạm kỹ thuật TP Hồ Chí Minh, 13. Đại học FPT, 14. Học viện Ngân hàng, 15. ĐH Hàng hải Việt Nam</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7340201</w:t>
            </w:r>
          </w:p>
        </w:tc>
        <w:tc>
          <w:tcPr>
            <w:tcW w:w="3969" w:type="dxa"/>
            <w:vAlign w:val="center"/>
          </w:tcPr>
          <w:p w:rsidR="00B822F8" w:rsidRPr="001F5DFD" w:rsidRDefault="00B822F8" w:rsidP="00D41D03">
            <w:pPr>
              <w:rPr>
                <w:sz w:val="26"/>
                <w:szCs w:val="26"/>
              </w:rPr>
            </w:pPr>
            <w:r w:rsidRPr="001F5DFD">
              <w:rPr>
                <w:sz w:val="26"/>
                <w:szCs w:val="26"/>
              </w:rPr>
              <w:t>Tài chính - Ngân hàng</w:t>
            </w:r>
          </w:p>
        </w:tc>
        <w:tc>
          <w:tcPr>
            <w:tcW w:w="8789" w:type="dxa"/>
            <w:vAlign w:val="center"/>
          </w:tcPr>
          <w:p w:rsidR="00B822F8" w:rsidRPr="001F5DFD" w:rsidRDefault="003916AA" w:rsidP="007E7970">
            <w:pPr>
              <w:jc w:val="both"/>
              <w:rPr>
                <w:rFonts w:eastAsia="Times New Roman" w:cs="Times New Roman"/>
                <w:sz w:val="26"/>
                <w:szCs w:val="26"/>
                <w:lang w:val="en-US" w:eastAsia="vi-VN"/>
              </w:rPr>
            </w:pPr>
            <w:r w:rsidRPr="001F5DFD">
              <w:rPr>
                <w:rFonts w:eastAsia="Times New Roman" w:cs="Times New Roman"/>
                <w:sz w:val="26"/>
                <w:szCs w:val="26"/>
                <w:lang w:val="en-US" w:eastAsia="vi-VN"/>
              </w:rPr>
              <w:t>1. ĐH Quốc gia Hà Nội, 2. ĐH Ngoại thương, 3. ĐH Kinh tế Quốc dân, 4. Học viện Ngân hàng, 5. Học viện Tài chính, 6. ĐH Thương mại, 7. ĐH Cần Thơ, 8. ĐH Sài Gòn, 9. ĐH Tôn Đức Thắng, 10. ĐH Mở TP Hồ Chí Minh, 11. ĐH Tài chính – Marketing, 12. ĐH Ngân hàng TP . Hồ Chí Minh, 13. ĐH Kinh tế TP Hồ Chí Minh, 14. ĐH Bách khoa Hà Nội.</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bCs/>
                <w:sz w:val="26"/>
                <w:szCs w:val="26"/>
              </w:rPr>
            </w:pPr>
            <w:r w:rsidRPr="001F5DFD">
              <w:rPr>
                <w:bCs/>
                <w:sz w:val="26"/>
                <w:szCs w:val="26"/>
              </w:rPr>
              <w:t>73403</w:t>
            </w:r>
          </w:p>
        </w:tc>
        <w:tc>
          <w:tcPr>
            <w:tcW w:w="3969" w:type="dxa"/>
            <w:vAlign w:val="center"/>
          </w:tcPr>
          <w:p w:rsidR="00B822F8" w:rsidRPr="001F5DFD" w:rsidRDefault="00B822F8" w:rsidP="00D41D03">
            <w:pPr>
              <w:rPr>
                <w:bCs/>
                <w:sz w:val="26"/>
                <w:szCs w:val="26"/>
              </w:rPr>
            </w:pPr>
            <w:r w:rsidRPr="001F5DFD">
              <w:rPr>
                <w:bCs/>
                <w:sz w:val="26"/>
                <w:szCs w:val="26"/>
              </w:rPr>
              <w:t>Kế toán - Kiểm toán</w:t>
            </w:r>
          </w:p>
        </w:tc>
        <w:tc>
          <w:tcPr>
            <w:tcW w:w="8789" w:type="dxa"/>
            <w:vAlign w:val="center"/>
          </w:tcPr>
          <w:p w:rsidR="00B822F8" w:rsidRPr="001F5DFD" w:rsidRDefault="003916AA" w:rsidP="007E7970">
            <w:pPr>
              <w:jc w:val="both"/>
              <w:rPr>
                <w:rFonts w:eastAsia="Times New Roman" w:cs="Times New Roman"/>
                <w:sz w:val="26"/>
                <w:szCs w:val="26"/>
                <w:lang w:val="en-US" w:eastAsia="vi-VN"/>
              </w:rPr>
            </w:pPr>
            <w:r w:rsidRPr="001F5DFD">
              <w:rPr>
                <w:rFonts w:eastAsia="Times New Roman" w:cs="Times New Roman"/>
                <w:sz w:val="26"/>
                <w:szCs w:val="26"/>
                <w:lang w:eastAsia="vi-VN"/>
              </w:rPr>
              <w:t xml:space="preserve">1. Học viện Ngân hàng, 2. ĐH Ngoại thương, 3. ĐH Kinh tế Quốc dân, 4. ĐH Thương mại, 5. ĐH Tôn Đức Thắng, 6. Học viện Tài chính, 7. </w:t>
            </w:r>
            <w:r w:rsidRPr="001F5DFD">
              <w:rPr>
                <w:rFonts w:eastAsia="Times New Roman" w:cs="Times New Roman"/>
                <w:sz w:val="26"/>
                <w:szCs w:val="26"/>
                <w:lang w:val="en-US" w:eastAsia="vi-VN"/>
              </w:rPr>
              <w:t>ĐH Bách khoa Hà Nội.</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7480101</w:t>
            </w:r>
          </w:p>
        </w:tc>
        <w:tc>
          <w:tcPr>
            <w:tcW w:w="3969" w:type="dxa"/>
            <w:vAlign w:val="center"/>
          </w:tcPr>
          <w:p w:rsidR="00B822F8" w:rsidRPr="001F5DFD" w:rsidRDefault="00B822F8" w:rsidP="00D41D03">
            <w:pPr>
              <w:rPr>
                <w:sz w:val="26"/>
                <w:szCs w:val="26"/>
              </w:rPr>
            </w:pPr>
            <w:r w:rsidRPr="001F5DFD">
              <w:rPr>
                <w:sz w:val="26"/>
                <w:szCs w:val="26"/>
              </w:rPr>
              <w:t>Khoa học máy tính</w:t>
            </w:r>
          </w:p>
        </w:tc>
        <w:tc>
          <w:tcPr>
            <w:tcW w:w="8789" w:type="dxa"/>
            <w:vMerge w:val="restart"/>
            <w:vAlign w:val="center"/>
          </w:tcPr>
          <w:p w:rsidR="00B822F8" w:rsidRPr="001F5DFD" w:rsidRDefault="006E1CB6" w:rsidP="007E7970">
            <w:pPr>
              <w:jc w:val="both"/>
              <w:rPr>
                <w:rFonts w:eastAsia="Times New Roman" w:cs="Times New Roman"/>
                <w:sz w:val="26"/>
                <w:szCs w:val="26"/>
                <w:lang w:val="en-US" w:eastAsia="vi-VN"/>
              </w:rPr>
            </w:pPr>
            <w:r w:rsidRPr="001F5DFD">
              <w:rPr>
                <w:rFonts w:eastAsia="Times New Roman" w:cs="Times New Roman"/>
                <w:sz w:val="26"/>
                <w:szCs w:val="26"/>
                <w:lang w:val="en-US" w:eastAsia="vi-VN"/>
              </w:rPr>
              <w:t>1. ĐH Quốc gia Hà Nội, 2. ĐH Quốc gia TP Hồ Chí Minh, 3. ĐH Bách Khoa Hà Nội, 4. ĐH Đà Nẵng, 5. ĐH Tôn Đức Thắng, 6. ĐH Kinh tế Quốc dân.</w:t>
            </w: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7480102</w:t>
            </w:r>
          </w:p>
        </w:tc>
        <w:tc>
          <w:tcPr>
            <w:tcW w:w="3969" w:type="dxa"/>
            <w:vAlign w:val="center"/>
          </w:tcPr>
          <w:p w:rsidR="00B822F8" w:rsidRPr="001F5DFD" w:rsidRDefault="00B822F8" w:rsidP="00D41D03">
            <w:pPr>
              <w:rPr>
                <w:sz w:val="26"/>
                <w:szCs w:val="26"/>
              </w:rPr>
            </w:pPr>
            <w:r w:rsidRPr="001F5DFD">
              <w:rPr>
                <w:sz w:val="26"/>
                <w:szCs w:val="26"/>
              </w:rPr>
              <w:t>Mạng máy tính và truyền thông dữ liệu</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Pr>
        <w:tc>
          <w:tcPr>
            <w:tcW w:w="675" w:type="dxa"/>
            <w:vAlign w:val="center"/>
          </w:tcPr>
          <w:p w:rsidR="00B822F8" w:rsidRPr="001F5DFD" w:rsidRDefault="00B822F8" w:rsidP="00D41D03">
            <w:pPr>
              <w:pStyle w:val="ListParagraph"/>
              <w:numPr>
                <w:ilvl w:val="0"/>
                <w:numId w:val="1"/>
              </w:numPr>
              <w:jc w:val="center"/>
              <w:rPr>
                <w:sz w:val="26"/>
                <w:szCs w:val="26"/>
              </w:rPr>
            </w:pPr>
          </w:p>
        </w:tc>
        <w:tc>
          <w:tcPr>
            <w:tcW w:w="1452" w:type="dxa"/>
            <w:vAlign w:val="center"/>
          </w:tcPr>
          <w:p w:rsidR="00B822F8" w:rsidRPr="001F5DFD" w:rsidRDefault="00B822F8" w:rsidP="00D41D03">
            <w:pPr>
              <w:jc w:val="center"/>
              <w:rPr>
                <w:sz w:val="26"/>
                <w:szCs w:val="26"/>
              </w:rPr>
            </w:pPr>
            <w:r w:rsidRPr="001F5DFD">
              <w:rPr>
                <w:sz w:val="26"/>
                <w:szCs w:val="26"/>
              </w:rPr>
              <w:t>7480103</w:t>
            </w:r>
          </w:p>
        </w:tc>
        <w:tc>
          <w:tcPr>
            <w:tcW w:w="3969" w:type="dxa"/>
            <w:vAlign w:val="center"/>
          </w:tcPr>
          <w:p w:rsidR="00B822F8" w:rsidRPr="001F5DFD" w:rsidRDefault="00B822F8" w:rsidP="00D41D03">
            <w:pPr>
              <w:rPr>
                <w:sz w:val="26"/>
                <w:szCs w:val="26"/>
              </w:rPr>
            </w:pPr>
            <w:r w:rsidRPr="001F5DFD">
              <w:rPr>
                <w:sz w:val="26"/>
                <w:szCs w:val="26"/>
              </w:rPr>
              <w:t>Kỹ thuật phần mềm</w:t>
            </w:r>
          </w:p>
        </w:tc>
        <w:tc>
          <w:tcPr>
            <w:tcW w:w="8789" w:type="dxa"/>
            <w:vMerge/>
            <w:vAlign w:val="center"/>
          </w:tcPr>
          <w:p w:rsidR="00B822F8" w:rsidRPr="001F5DFD" w:rsidRDefault="00B822F8" w:rsidP="007E7970">
            <w:pPr>
              <w:jc w:val="both"/>
              <w:rPr>
                <w:sz w:val="26"/>
                <w:szCs w:val="26"/>
              </w:rPr>
            </w:pPr>
          </w:p>
        </w:tc>
      </w:tr>
      <w:tr w:rsidR="001F5DFD" w:rsidRPr="001F5DFD" w:rsidTr="00D41D03">
        <w:trPr>
          <w:cantSplit/>
          <w:trHeight w:val="983"/>
        </w:trPr>
        <w:tc>
          <w:tcPr>
            <w:tcW w:w="675" w:type="dxa"/>
            <w:vAlign w:val="center"/>
          </w:tcPr>
          <w:p w:rsidR="006E1CB6" w:rsidRPr="001F5DFD" w:rsidRDefault="006E1CB6" w:rsidP="00D41D03">
            <w:pPr>
              <w:pStyle w:val="ListParagraph"/>
              <w:numPr>
                <w:ilvl w:val="0"/>
                <w:numId w:val="1"/>
              </w:numPr>
              <w:jc w:val="center"/>
              <w:rPr>
                <w:sz w:val="26"/>
                <w:szCs w:val="26"/>
              </w:rPr>
            </w:pPr>
          </w:p>
        </w:tc>
        <w:tc>
          <w:tcPr>
            <w:tcW w:w="1452" w:type="dxa"/>
            <w:vAlign w:val="center"/>
          </w:tcPr>
          <w:p w:rsidR="006E1CB6" w:rsidRPr="001F5DFD" w:rsidRDefault="006E1CB6" w:rsidP="00D41D03">
            <w:pPr>
              <w:jc w:val="center"/>
              <w:rPr>
                <w:sz w:val="26"/>
                <w:szCs w:val="26"/>
              </w:rPr>
            </w:pPr>
            <w:r w:rsidRPr="001F5DFD">
              <w:rPr>
                <w:sz w:val="26"/>
                <w:szCs w:val="26"/>
              </w:rPr>
              <w:t>7480201</w:t>
            </w:r>
          </w:p>
        </w:tc>
        <w:tc>
          <w:tcPr>
            <w:tcW w:w="3969" w:type="dxa"/>
            <w:vAlign w:val="center"/>
          </w:tcPr>
          <w:p w:rsidR="006E1CB6" w:rsidRPr="001F5DFD" w:rsidRDefault="006E1CB6" w:rsidP="00D41D03">
            <w:pPr>
              <w:rPr>
                <w:sz w:val="26"/>
                <w:szCs w:val="26"/>
              </w:rPr>
            </w:pPr>
            <w:r w:rsidRPr="001F5DFD">
              <w:rPr>
                <w:sz w:val="26"/>
                <w:szCs w:val="26"/>
              </w:rPr>
              <w:t>Công nghệ thông tin</w:t>
            </w:r>
          </w:p>
        </w:tc>
        <w:tc>
          <w:tcPr>
            <w:tcW w:w="8789" w:type="dxa"/>
            <w:vMerge w:val="restart"/>
            <w:vAlign w:val="center"/>
          </w:tcPr>
          <w:p w:rsidR="006E1CB6" w:rsidRPr="001F5DFD" w:rsidRDefault="006E1CB6" w:rsidP="007E7970">
            <w:pPr>
              <w:jc w:val="both"/>
              <w:rPr>
                <w:rFonts w:eastAsia="Times New Roman" w:cs="Times New Roman"/>
                <w:sz w:val="26"/>
                <w:szCs w:val="26"/>
                <w:lang w:val="en-US" w:eastAsia="vi-VN"/>
              </w:rPr>
            </w:pPr>
            <w:r w:rsidRPr="001F5DFD">
              <w:rPr>
                <w:rFonts w:eastAsia="Times New Roman" w:cs="Times New Roman"/>
                <w:sz w:val="26"/>
                <w:szCs w:val="26"/>
                <w:lang w:eastAsia="vi-VN"/>
              </w:rPr>
              <w:t xml:space="preserve">1. Học viện ANND, 2. ĐH Quốc gia Hà Nội, 3. </w:t>
            </w:r>
            <w:r w:rsidRPr="001F5DFD">
              <w:rPr>
                <w:rFonts w:eastAsia="Times New Roman" w:cs="Times New Roman"/>
                <w:sz w:val="26"/>
                <w:szCs w:val="26"/>
                <w:lang w:val="en-US" w:eastAsia="vi-VN"/>
              </w:rPr>
              <w:t>ĐH Quốc gia TP Hồ Chí Minh, 4. ĐH Bách khoa Hà Nội, 5. ĐH Đà Nẵng, 6. Đại học FPT, 7. ĐH Tôn Đức Thắng, 8. Học viện Công nghệ bưu chính viễn thông, 9. Học viện Kỹ thuật quân sự, 10.Học viện Kỹ thuật mật mã, 11. ĐH Thái Nguyên, 12. ĐH Sư phạm kỹ thuật TP Hồ Chí Minh.</w:t>
            </w:r>
          </w:p>
        </w:tc>
      </w:tr>
      <w:tr w:rsidR="001F5DFD" w:rsidRPr="001F5DFD" w:rsidTr="00D41D03">
        <w:trPr>
          <w:cantSplit/>
        </w:trPr>
        <w:tc>
          <w:tcPr>
            <w:tcW w:w="675" w:type="dxa"/>
            <w:vAlign w:val="center"/>
          </w:tcPr>
          <w:p w:rsidR="006E1CB6" w:rsidRPr="001F5DFD" w:rsidRDefault="006E1CB6" w:rsidP="00D41D03">
            <w:pPr>
              <w:pStyle w:val="ListParagraph"/>
              <w:numPr>
                <w:ilvl w:val="0"/>
                <w:numId w:val="1"/>
              </w:numPr>
              <w:jc w:val="center"/>
              <w:rPr>
                <w:sz w:val="26"/>
                <w:szCs w:val="26"/>
              </w:rPr>
            </w:pPr>
          </w:p>
        </w:tc>
        <w:tc>
          <w:tcPr>
            <w:tcW w:w="1452" w:type="dxa"/>
            <w:vAlign w:val="center"/>
          </w:tcPr>
          <w:p w:rsidR="006E1CB6" w:rsidRPr="001F5DFD" w:rsidRDefault="006E1CB6" w:rsidP="00D41D03">
            <w:pPr>
              <w:jc w:val="center"/>
              <w:rPr>
                <w:sz w:val="26"/>
                <w:szCs w:val="26"/>
              </w:rPr>
            </w:pPr>
            <w:r w:rsidRPr="001F5DFD">
              <w:rPr>
                <w:sz w:val="26"/>
                <w:szCs w:val="26"/>
              </w:rPr>
              <w:t>7480202</w:t>
            </w:r>
          </w:p>
        </w:tc>
        <w:tc>
          <w:tcPr>
            <w:tcW w:w="3969" w:type="dxa"/>
            <w:vAlign w:val="center"/>
          </w:tcPr>
          <w:p w:rsidR="006E1CB6" w:rsidRPr="001F5DFD" w:rsidRDefault="006E1CB6" w:rsidP="00D41D03">
            <w:pPr>
              <w:rPr>
                <w:sz w:val="26"/>
                <w:szCs w:val="26"/>
              </w:rPr>
            </w:pPr>
            <w:r w:rsidRPr="001F5DFD">
              <w:rPr>
                <w:sz w:val="26"/>
                <w:szCs w:val="26"/>
              </w:rPr>
              <w:t>An toàn thông tin</w:t>
            </w:r>
          </w:p>
        </w:tc>
        <w:tc>
          <w:tcPr>
            <w:tcW w:w="8789" w:type="dxa"/>
            <w:vMerge/>
            <w:vAlign w:val="center"/>
          </w:tcPr>
          <w:p w:rsidR="006E1CB6" w:rsidRPr="001F5DFD" w:rsidRDefault="006E1CB6" w:rsidP="00D41D03">
            <w:pPr>
              <w:jc w:val="center"/>
              <w:rPr>
                <w:sz w:val="26"/>
                <w:szCs w:val="26"/>
              </w:rPr>
            </w:pPr>
          </w:p>
        </w:tc>
      </w:tr>
    </w:tbl>
    <w:p w:rsidR="00D43568" w:rsidRDefault="00D43568" w:rsidP="008A53E8">
      <w:pPr>
        <w:spacing w:after="0" w:line="240" w:lineRule="auto"/>
        <w:rPr>
          <w:sz w:val="28"/>
          <w:szCs w:val="28"/>
          <w:lang w:val="en-US"/>
        </w:rPr>
      </w:pPr>
    </w:p>
    <w:p w:rsidR="008E4ECA" w:rsidRPr="00420202" w:rsidRDefault="008E4ECA" w:rsidP="00821C1D">
      <w:pPr>
        <w:spacing w:after="0" w:line="240" w:lineRule="auto"/>
        <w:jc w:val="both"/>
        <w:rPr>
          <w:b/>
          <w:i/>
          <w:sz w:val="28"/>
          <w:szCs w:val="28"/>
          <w:lang w:val="en-US"/>
        </w:rPr>
      </w:pPr>
      <w:r w:rsidRPr="00420202">
        <w:rPr>
          <w:b/>
          <w:i/>
          <w:sz w:val="28"/>
          <w:szCs w:val="28"/>
          <w:lang w:val="en-US"/>
        </w:rPr>
        <w:t xml:space="preserve">Ghi chú: Chuyên ngành tốt nghiệp </w:t>
      </w:r>
      <w:r w:rsidR="00BC65B5">
        <w:rPr>
          <w:b/>
          <w:i/>
          <w:sz w:val="28"/>
          <w:szCs w:val="28"/>
          <w:lang w:val="en-US"/>
        </w:rPr>
        <w:t>của văn bằng</w:t>
      </w:r>
      <w:r w:rsidR="00821C1D">
        <w:rPr>
          <w:b/>
          <w:i/>
          <w:sz w:val="28"/>
          <w:szCs w:val="28"/>
          <w:lang w:val="en-US"/>
        </w:rPr>
        <w:t xml:space="preserve"> </w:t>
      </w:r>
      <w:r w:rsidRPr="00420202">
        <w:rPr>
          <w:b/>
          <w:i/>
          <w:sz w:val="28"/>
          <w:szCs w:val="28"/>
          <w:lang w:val="en-US"/>
        </w:rPr>
        <w:t>phải đúng với tên ngành tốt nghiệp và thuộ</w:t>
      </w:r>
      <w:r w:rsidR="003A73A6">
        <w:rPr>
          <w:b/>
          <w:i/>
          <w:sz w:val="28"/>
          <w:szCs w:val="28"/>
          <w:lang w:val="en-US"/>
        </w:rPr>
        <w:t>c trườ</w:t>
      </w:r>
      <w:r w:rsidRPr="00420202">
        <w:rPr>
          <w:b/>
          <w:i/>
          <w:sz w:val="28"/>
          <w:szCs w:val="28"/>
          <w:lang w:val="en-US"/>
        </w:rPr>
        <w:t xml:space="preserve">ng </w:t>
      </w:r>
      <w:r w:rsidR="00555C1F">
        <w:rPr>
          <w:b/>
          <w:i/>
          <w:sz w:val="28"/>
          <w:szCs w:val="28"/>
          <w:lang w:val="en-US"/>
        </w:rPr>
        <w:t xml:space="preserve">đã </w:t>
      </w:r>
      <w:r w:rsidRPr="00420202">
        <w:rPr>
          <w:b/>
          <w:i/>
          <w:sz w:val="28"/>
          <w:szCs w:val="28"/>
          <w:lang w:val="en-US"/>
        </w:rPr>
        <w:t>tốt nghiệp như trên phụ lục.</w:t>
      </w:r>
    </w:p>
    <w:sectPr w:rsidR="008E4ECA" w:rsidRPr="00420202" w:rsidSect="00D41D03">
      <w:pgSz w:w="16838" w:h="11906" w:orient="landscape"/>
      <w:pgMar w:top="1134" w:right="1134" w:bottom="1134" w:left="170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4A" w:rsidRDefault="00A77E4A" w:rsidP="00D41D03">
      <w:pPr>
        <w:spacing w:after="0" w:line="240" w:lineRule="auto"/>
      </w:pPr>
      <w:r>
        <w:separator/>
      </w:r>
    </w:p>
  </w:endnote>
  <w:endnote w:type="continuationSeparator" w:id="0">
    <w:p w:rsidR="00A77E4A" w:rsidRDefault="00A77E4A" w:rsidP="00D4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4A" w:rsidRDefault="00A77E4A" w:rsidP="00D41D03">
      <w:pPr>
        <w:spacing w:after="0" w:line="240" w:lineRule="auto"/>
      </w:pPr>
      <w:r>
        <w:separator/>
      </w:r>
    </w:p>
  </w:footnote>
  <w:footnote w:type="continuationSeparator" w:id="0">
    <w:p w:rsidR="00A77E4A" w:rsidRDefault="00A77E4A" w:rsidP="00D4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033C"/>
    <w:multiLevelType w:val="hybridMultilevel"/>
    <w:tmpl w:val="71FA2720"/>
    <w:lvl w:ilvl="0" w:tplc="497EDBD0">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68"/>
    <w:rsid w:val="00135B47"/>
    <w:rsid w:val="001A169E"/>
    <w:rsid w:val="001D6AD6"/>
    <w:rsid w:val="001F1EAF"/>
    <w:rsid w:val="001F5DFD"/>
    <w:rsid w:val="00215FC0"/>
    <w:rsid w:val="002544E3"/>
    <w:rsid w:val="003916AA"/>
    <w:rsid w:val="003A73A6"/>
    <w:rsid w:val="00420202"/>
    <w:rsid w:val="004344CC"/>
    <w:rsid w:val="00487AB0"/>
    <w:rsid w:val="00555C1F"/>
    <w:rsid w:val="006067A2"/>
    <w:rsid w:val="006E1CB6"/>
    <w:rsid w:val="006E33D9"/>
    <w:rsid w:val="00727932"/>
    <w:rsid w:val="007765EC"/>
    <w:rsid w:val="007E7970"/>
    <w:rsid w:val="00821C1D"/>
    <w:rsid w:val="00862823"/>
    <w:rsid w:val="008A53E8"/>
    <w:rsid w:val="008E4ECA"/>
    <w:rsid w:val="009A3BDF"/>
    <w:rsid w:val="00A77E4A"/>
    <w:rsid w:val="00AE0C2A"/>
    <w:rsid w:val="00B475EC"/>
    <w:rsid w:val="00B5383C"/>
    <w:rsid w:val="00B804B9"/>
    <w:rsid w:val="00B822F8"/>
    <w:rsid w:val="00BA210B"/>
    <w:rsid w:val="00BA489E"/>
    <w:rsid w:val="00BC65B5"/>
    <w:rsid w:val="00C0584D"/>
    <w:rsid w:val="00D41D03"/>
    <w:rsid w:val="00D43568"/>
    <w:rsid w:val="00D726D2"/>
    <w:rsid w:val="00F207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5EC"/>
    <w:pPr>
      <w:ind w:left="720"/>
      <w:contextualSpacing/>
    </w:pPr>
  </w:style>
  <w:style w:type="paragraph" w:styleId="Header">
    <w:name w:val="header"/>
    <w:basedOn w:val="Normal"/>
    <w:link w:val="HeaderChar"/>
    <w:uiPriority w:val="99"/>
    <w:unhideWhenUsed/>
    <w:rsid w:val="00D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03"/>
  </w:style>
  <w:style w:type="paragraph" w:styleId="Footer">
    <w:name w:val="footer"/>
    <w:basedOn w:val="Normal"/>
    <w:link w:val="FooterChar"/>
    <w:uiPriority w:val="99"/>
    <w:unhideWhenUsed/>
    <w:rsid w:val="00D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5EC"/>
    <w:pPr>
      <w:ind w:left="720"/>
      <w:contextualSpacing/>
    </w:pPr>
  </w:style>
  <w:style w:type="paragraph" w:styleId="Header">
    <w:name w:val="header"/>
    <w:basedOn w:val="Normal"/>
    <w:link w:val="HeaderChar"/>
    <w:uiPriority w:val="99"/>
    <w:unhideWhenUsed/>
    <w:rsid w:val="00D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03"/>
  </w:style>
  <w:style w:type="paragraph" w:styleId="Footer">
    <w:name w:val="footer"/>
    <w:basedOn w:val="Normal"/>
    <w:link w:val="FooterChar"/>
    <w:uiPriority w:val="99"/>
    <w:unhideWhenUsed/>
    <w:rsid w:val="00D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219">
      <w:bodyDiv w:val="1"/>
      <w:marLeft w:val="0"/>
      <w:marRight w:val="0"/>
      <w:marTop w:val="0"/>
      <w:marBottom w:val="0"/>
      <w:divBdr>
        <w:top w:val="none" w:sz="0" w:space="0" w:color="auto"/>
        <w:left w:val="none" w:sz="0" w:space="0" w:color="auto"/>
        <w:bottom w:val="none" w:sz="0" w:space="0" w:color="auto"/>
        <w:right w:val="none" w:sz="0" w:space="0" w:color="auto"/>
      </w:divBdr>
    </w:div>
    <w:div w:id="1367215524">
      <w:bodyDiv w:val="1"/>
      <w:marLeft w:val="0"/>
      <w:marRight w:val="0"/>
      <w:marTop w:val="0"/>
      <w:marBottom w:val="0"/>
      <w:divBdr>
        <w:top w:val="none" w:sz="0" w:space="0" w:color="auto"/>
        <w:left w:val="none" w:sz="0" w:space="0" w:color="auto"/>
        <w:bottom w:val="none" w:sz="0" w:space="0" w:color="auto"/>
        <w:right w:val="none" w:sz="0" w:space="0" w:color="auto"/>
      </w:divBdr>
    </w:div>
    <w:div w:id="1613584785">
      <w:bodyDiv w:val="1"/>
      <w:marLeft w:val="0"/>
      <w:marRight w:val="0"/>
      <w:marTop w:val="0"/>
      <w:marBottom w:val="0"/>
      <w:divBdr>
        <w:top w:val="none" w:sz="0" w:space="0" w:color="auto"/>
        <w:left w:val="none" w:sz="0" w:space="0" w:color="auto"/>
        <w:bottom w:val="none" w:sz="0" w:space="0" w:color="auto"/>
        <w:right w:val="none" w:sz="0" w:space="0" w:color="auto"/>
      </w:divBdr>
    </w:div>
    <w:div w:id="1951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7CE8-D4DE-438A-A4A6-2F39727E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Nguyen </cp:lastModifiedBy>
  <cp:revision>23</cp:revision>
  <cp:lastPrinted>2021-10-06T07:39:00Z</cp:lastPrinted>
  <dcterms:created xsi:type="dcterms:W3CDTF">2020-04-22T02:23:00Z</dcterms:created>
  <dcterms:modified xsi:type="dcterms:W3CDTF">2021-10-06T07:58:00Z</dcterms:modified>
</cp:coreProperties>
</file>