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33D" w:rsidRPr="007206C3" w:rsidRDefault="003201F8" w:rsidP="004A4BC8">
      <w:pPr>
        <w:widowControl w:val="0"/>
        <w:spacing w:before="0"/>
        <w:ind w:firstLine="0"/>
        <w:jc w:val="center"/>
        <w:rPr>
          <w:b/>
          <w:sz w:val="28"/>
          <w:szCs w:val="28"/>
        </w:rPr>
      </w:pPr>
      <w:r w:rsidRPr="007206C3">
        <w:rPr>
          <w:b/>
          <w:sz w:val="28"/>
          <w:szCs w:val="28"/>
        </w:rPr>
        <w:t>P</w:t>
      </w:r>
      <w:r w:rsidR="00095A71">
        <w:rPr>
          <w:b/>
          <w:sz w:val="28"/>
          <w:szCs w:val="28"/>
        </w:rPr>
        <w:t>hụ lục</w:t>
      </w:r>
      <w:r w:rsidR="007246EC">
        <w:rPr>
          <w:b/>
          <w:sz w:val="28"/>
          <w:szCs w:val="28"/>
        </w:rPr>
        <w:t xml:space="preserve"> IV</w:t>
      </w:r>
      <w:r w:rsidR="0065053E" w:rsidRPr="007206C3">
        <w:rPr>
          <w:b/>
          <w:sz w:val="28"/>
          <w:szCs w:val="28"/>
        </w:rPr>
        <w:br/>
      </w:r>
      <w:r w:rsidR="00686110">
        <w:rPr>
          <w:b/>
          <w:sz w:val="28"/>
          <w:szCs w:val="28"/>
        </w:rPr>
        <w:t xml:space="preserve">MỘT SỐ CÂU HỎI VÀ </w:t>
      </w:r>
      <w:r w:rsidRPr="007206C3">
        <w:rPr>
          <w:b/>
          <w:sz w:val="28"/>
          <w:szCs w:val="28"/>
        </w:rPr>
        <w:t>TRẢ LỜI VỀ NHỮNG VẤN ĐỀ THƯỜNG</w:t>
      </w:r>
      <w:r w:rsidR="00686110">
        <w:rPr>
          <w:b/>
          <w:sz w:val="28"/>
          <w:szCs w:val="28"/>
        </w:rPr>
        <w:t xml:space="preserve"> GẶP TRONG QUÁ TRÌNH </w:t>
      </w:r>
      <w:r w:rsidR="0030133D">
        <w:rPr>
          <w:b/>
          <w:sz w:val="28"/>
          <w:szCs w:val="28"/>
        </w:rPr>
        <w:t>THỰC HIỆN</w:t>
      </w:r>
      <w:r w:rsidR="00686110">
        <w:rPr>
          <w:b/>
          <w:sz w:val="28"/>
          <w:szCs w:val="28"/>
        </w:rPr>
        <w:br/>
      </w:r>
      <w:r w:rsidRPr="007206C3">
        <w:rPr>
          <w:b/>
          <w:sz w:val="28"/>
          <w:szCs w:val="28"/>
        </w:rPr>
        <w:t xml:space="preserve">THỦ TỤC HÀNH CHÍNH </w:t>
      </w:r>
      <w:r w:rsidR="0030133D">
        <w:rPr>
          <w:b/>
          <w:sz w:val="28"/>
          <w:szCs w:val="28"/>
        </w:rPr>
        <w:t xml:space="preserve">LĨNH VỰC </w:t>
      </w:r>
      <w:r w:rsidR="00406CCA" w:rsidRPr="007206C3">
        <w:rPr>
          <w:b/>
          <w:sz w:val="28"/>
          <w:szCs w:val="28"/>
        </w:rPr>
        <w:t>ĐẦU TƯ VÀO NÔNG NGHIỆP</w:t>
      </w:r>
      <w:r w:rsidR="00406CCA">
        <w:rPr>
          <w:b/>
          <w:sz w:val="28"/>
          <w:szCs w:val="28"/>
        </w:rPr>
        <w:t>, NÔNG THÔN</w:t>
      </w:r>
    </w:p>
    <w:p w:rsidR="003201F8" w:rsidRPr="007206C3" w:rsidRDefault="00DB4309" w:rsidP="004A4BC8">
      <w:pPr>
        <w:widowControl w:val="0"/>
        <w:spacing w:before="0"/>
        <w:ind w:firstLine="0"/>
        <w:jc w:val="center"/>
        <w:rPr>
          <w:i/>
          <w:spacing w:val="-6"/>
          <w:sz w:val="28"/>
          <w:szCs w:val="28"/>
        </w:rPr>
      </w:pPr>
      <w:r w:rsidRPr="007206C3">
        <w:rPr>
          <w:i/>
          <w:spacing w:val="-6"/>
          <w:sz w:val="28"/>
          <w:szCs w:val="28"/>
        </w:rPr>
        <w:t>(</w:t>
      </w:r>
      <w:r>
        <w:rPr>
          <w:i/>
          <w:spacing w:val="-6"/>
          <w:sz w:val="28"/>
          <w:szCs w:val="28"/>
        </w:rPr>
        <w:t>Ban hành k</w:t>
      </w:r>
      <w:r w:rsidRPr="007206C3">
        <w:rPr>
          <w:i/>
          <w:spacing w:val="-6"/>
          <w:sz w:val="28"/>
          <w:szCs w:val="28"/>
        </w:rPr>
        <w:t xml:space="preserve">èm </w:t>
      </w:r>
      <w:proofErr w:type="gramStart"/>
      <w:r w:rsidRPr="007206C3">
        <w:rPr>
          <w:i/>
          <w:spacing w:val="-6"/>
          <w:sz w:val="28"/>
          <w:szCs w:val="28"/>
        </w:rPr>
        <w:t>theo</w:t>
      </w:r>
      <w:proofErr w:type="gramEnd"/>
      <w:r w:rsidRPr="007206C3">
        <w:rPr>
          <w:i/>
          <w:spacing w:val="-6"/>
          <w:sz w:val="28"/>
          <w:szCs w:val="28"/>
        </w:rPr>
        <w:t xml:space="preserve"> </w:t>
      </w:r>
      <w:r>
        <w:rPr>
          <w:i/>
          <w:spacing w:val="-6"/>
          <w:sz w:val="28"/>
          <w:szCs w:val="28"/>
        </w:rPr>
        <w:t>Quyết định số        /QĐ-SKHĐT</w:t>
      </w:r>
      <w:r w:rsidRPr="007206C3">
        <w:rPr>
          <w:i/>
          <w:spacing w:val="-6"/>
          <w:sz w:val="28"/>
          <w:szCs w:val="28"/>
        </w:rPr>
        <w:t xml:space="preserve"> ngày    </w:t>
      </w:r>
      <w:r>
        <w:rPr>
          <w:i/>
          <w:spacing w:val="-6"/>
          <w:sz w:val="28"/>
          <w:szCs w:val="28"/>
        </w:rPr>
        <w:t xml:space="preserve"> </w:t>
      </w:r>
      <w:r w:rsidRPr="007206C3">
        <w:rPr>
          <w:i/>
          <w:spacing w:val="-6"/>
          <w:sz w:val="28"/>
          <w:szCs w:val="28"/>
        </w:rPr>
        <w:t xml:space="preserve">  tháng </w:t>
      </w:r>
      <w:r>
        <w:rPr>
          <w:i/>
          <w:spacing w:val="-6"/>
          <w:sz w:val="28"/>
          <w:szCs w:val="28"/>
        </w:rPr>
        <w:t xml:space="preserve">   </w:t>
      </w:r>
      <w:r w:rsidRPr="007206C3">
        <w:rPr>
          <w:i/>
          <w:spacing w:val="-6"/>
          <w:sz w:val="28"/>
          <w:szCs w:val="28"/>
        </w:rPr>
        <w:t xml:space="preserve"> năm 2019 của </w:t>
      </w:r>
      <w:r>
        <w:rPr>
          <w:i/>
          <w:spacing w:val="-6"/>
          <w:sz w:val="28"/>
          <w:szCs w:val="28"/>
        </w:rPr>
        <w:t>Sở Kế hoạch và Đầu tư</w:t>
      </w:r>
      <w:r w:rsidRPr="007206C3">
        <w:rPr>
          <w:i/>
          <w:spacing w:val="-6"/>
          <w:sz w:val="28"/>
          <w:szCs w:val="28"/>
        </w:rPr>
        <w:t>)</w:t>
      </w:r>
    </w:p>
    <w:p w:rsidR="0056345D" w:rsidRPr="007206C3" w:rsidRDefault="00940132" w:rsidP="0065053E">
      <w:pPr>
        <w:spacing w:after="120"/>
        <w:rPr>
          <w:sz w:val="28"/>
          <w:szCs w:val="28"/>
        </w:rPr>
      </w:pPr>
      <w:r w:rsidRPr="007206C3">
        <w:rPr>
          <w:noProof/>
          <w:sz w:val="28"/>
          <w:szCs w:val="28"/>
        </w:rPr>
        <mc:AlternateContent>
          <mc:Choice Requires="wps">
            <w:drawing>
              <wp:anchor distT="0" distB="0" distL="114300" distR="114300" simplePos="0" relativeHeight="251658240" behindDoc="0" locked="0" layoutInCell="1" allowOverlap="1" wp14:anchorId="6C0D1649" wp14:editId="4D1CDFD0">
                <wp:simplePos x="0" y="0"/>
                <wp:positionH relativeFrom="column">
                  <wp:posOffset>3767455</wp:posOffset>
                </wp:positionH>
                <wp:positionV relativeFrom="paragraph">
                  <wp:posOffset>111851</wp:posOffset>
                </wp:positionV>
                <wp:extent cx="2340000" cy="0"/>
                <wp:effectExtent l="0" t="0" r="22225"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96.65pt;margin-top:8.8pt;width:184.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yYnHAIAADs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"/>
            </w:pict>
          </mc:Fallback>
        </mc:AlternateContent>
      </w:r>
    </w:p>
    <w:tbl>
      <w:tblPr>
        <w:tblStyle w:val="TableGrid"/>
        <w:tblW w:w="15721" w:type="dxa"/>
        <w:jc w:val="center"/>
        <w:tblInd w:w="-176" w:type="dxa"/>
        <w:tblLayout w:type="fixed"/>
        <w:tblLook w:val="04A0" w:firstRow="1" w:lastRow="0" w:firstColumn="1" w:lastColumn="0" w:noHBand="0" w:noVBand="1"/>
      </w:tblPr>
      <w:tblGrid>
        <w:gridCol w:w="851"/>
        <w:gridCol w:w="5386"/>
        <w:gridCol w:w="9484"/>
      </w:tblGrid>
      <w:tr w:rsidR="003201F8" w:rsidRPr="007206C3" w:rsidTr="00095A71">
        <w:trPr>
          <w:jc w:val="center"/>
        </w:trPr>
        <w:tc>
          <w:tcPr>
            <w:tcW w:w="851" w:type="dxa"/>
            <w:shd w:val="clear" w:color="auto" w:fill="AFDC7E"/>
          </w:tcPr>
          <w:p w:rsidR="003201F8" w:rsidRPr="00095A71" w:rsidRDefault="0065053E" w:rsidP="0065053E">
            <w:pPr>
              <w:spacing w:after="120"/>
              <w:ind w:firstLine="0"/>
              <w:jc w:val="center"/>
              <w:rPr>
                <w:b/>
                <w:color w:val="000000" w:themeColor="text1"/>
                <w:sz w:val="28"/>
                <w:szCs w:val="28"/>
              </w:rPr>
            </w:pPr>
            <w:r w:rsidRPr="00095A71">
              <w:rPr>
                <w:b/>
                <w:color w:val="000000" w:themeColor="text1"/>
                <w:sz w:val="28"/>
                <w:szCs w:val="28"/>
              </w:rPr>
              <w:t>STT</w:t>
            </w:r>
          </w:p>
        </w:tc>
        <w:tc>
          <w:tcPr>
            <w:tcW w:w="5386" w:type="dxa"/>
            <w:shd w:val="clear" w:color="auto" w:fill="AFDC7E"/>
          </w:tcPr>
          <w:p w:rsidR="003201F8" w:rsidRPr="00095A71" w:rsidRDefault="0065053E" w:rsidP="0065053E">
            <w:pPr>
              <w:spacing w:after="120"/>
              <w:ind w:firstLine="0"/>
              <w:jc w:val="center"/>
              <w:rPr>
                <w:b/>
                <w:color w:val="000000" w:themeColor="text1"/>
                <w:sz w:val="28"/>
                <w:szCs w:val="28"/>
              </w:rPr>
            </w:pPr>
            <w:r w:rsidRPr="00095A71">
              <w:rPr>
                <w:b/>
                <w:color w:val="000000" w:themeColor="text1"/>
                <w:sz w:val="28"/>
                <w:szCs w:val="28"/>
              </w:rPr>
              <w:t>CÂU HỎI</w:t>
            </w:r>
          </w:p>
        </w:tc>
        <w:tc>
          <w:tcPr>
            <w:tcW w:w="9484" w:type="dxa"/>
            <w:shd w:val="clear" w:color="auto" w:fill="AFDC7E"/>
          </w:tcPr>
          <w:p w:rsidR="003201F8" w:rsidRPr="00095A71" w:rsidRDefault="0065053E" w:rsidP="0065053E">
            <w:pPr>
              <w:spacing w:after="120"/>
              <w:ind w:firstLine="0"/>
              <w:jc w:val="center"/>
              <w:rPr>
                <w:b/>
                <w:color w:val="000000" w:themeColor="text1"/>
                <w:sz w:val="28"/>
                <w:szCs w:val="28"/>
              </w:rPr>
            </w:pPr>
            <w:r w:rsidRPr="00095A71">
              <w:rPr>
                <w:b/>
                <w:color w:val="000000" w:themeColor="text1"/>
                <w:sz w:val="28"/>
                <w:szCs w:val="28"/>
              </w:rPr>
              <w:t>CÂU TRẢ LỜI</w:t>
            </w:r>
          </w:p>
        </w:tc>
      </w:tr>
      <w:tr w:rsidR="00740C5B" w:rsidRPr="007206C3" w:rsidTr="009213F7">
        <w:trPr>
          <w:jc w:val="center"/>
        </w:trPr>
        <w:tc>
          <w:tcPr>
            <w:tcW w:w="851" w:type="dxa"/>
            <w:vAlign w:val="center"/>
          </w:tcPr>
          <w:p w:rsidR="00740C5B" w:rsidRPr="00DA4D1D" w:rsidRDefault="00DA4D1D" w:rsidP="00DB4309">
            <w:pPr>
              <w:spacing w:before="240" w:after="120"/>
              <w:ind w:firstLine="0"/>
              <w:jc w:val="center"/>
              <w:rPr>
                <w:sz w:val="28"/>
                <w:szCs w:val="28"/>
              </w:rPr>
            </w:pPr>
            <w:bookmarkStart w:id="0" w:name="_GoBack" w:colFirst="0" w:colLast="2"/>
            <w:r>
              <w:rPr>
                <w:sz w:val="28"/>
                <w:szCs w:val="28"/>
              </w:rPr>
              <w:t>1</w:t>
            </w:r>
          </w:p>
        </w:tc>
        <w:tc>
          <w:tcPr>
            <w:tcW w:w="5386" w:type="dxa"/>
            <w:vAlign w:val="center"/>
          </w:tcPr>
          <w:p w:rsidR="00740C5B" w:rsidRPr="007206C3" w:rsidRDefault="00740C5B" w:rsidP="00DB4309">
            <w:pPr>
              <w:widowControl w:val="0"/>
              <w:spacing w:before="240" w:after="120"/>
              <w:ind w:firstLine="0"/>
              <w:rPr>
                <w:sz w:val="28"/>
                <w:szCs w:val="28"/>
                <w:lang w:val="pt-BR"/>
              </w:rPr>
            </w:pPr>
            <w:r w:rsidRPr="007206C3">
              <w:rPr>
                <w:sz w:val="28"/>
                <w:szCs w:val="28"/>
                <w:lang w:val="pt-BR"/>
              </w:rPr>
              <w:t>Dự án A đầu tư lĩnh vực nông nghiệp, nông thôn có được hưởng ưu đãi, hỗ trợ theo Nghị định 57/2018/NĐ-CP hay không?</w:t>
            </w:r>
          </w:p>
        </w:tc>
        <w:tc>
          <w:tcPr>
            <w:tcW w:w="9484" w:type="dxa"/>
            <w:vAlign w:val="center"/>
          </w:tcPr>
          <w:p w:rsidR="00740C5B" w:rsidRPr="007206C3" w:rsidRDefault="00740C5B" w:rsidP="00DB4309">
            <w:pPr>
              <w:widowControl w:val="0"/>
              <w:spacing w:before="240" w:after="120"/>
              <w:ind w:firstLine="0"/>
              <w:rPr>
                <w:sz w:val="28"/>
                <w:szCs w:val="28"/>
                <w:lang w:val="pt-BR"/>
              </w:rPr>
            </w:pPr>
            <w:r w:rsidRPr="007206C3">
              <w:rPr>
                <w:sz w:val="28"/>
                <w:szCs w:val="28"/>
                <w:lang w:val="pt-BR"/>
              </w:rPr>
              <w:t>- Các nội dung ưu đãi, hỗ trợ  đối với doanh nghiệp đầu tư vào nông nghiệp, nông thôn được quy định cụ thể tại Nghị định 57/2018/NĐ-CP về cơ chế, chính sách khuyến khích doanh nghiệp đầu tư vào nông nghiệp, nông thôn.</w:t>
            </w:r>
          </w:p>
          <w:p w:rsidR="00740C5B" w:rsidRPr="007206C3" w:rsidRDefault="00740C5B" w:rsidP="00DB4309">
            <w:pPr>
              <w:widowControl w:val="0"/>
              <w:spacing w:before="240" w:after="120"/>
              <w:ind w:firstLine="0"/>
              <w:rPr>
                <w:sz w:val="28"/>
                <w:szCs w:val="28"/>
                <w:lang w:val="pt-BR"/>
              </w:rPr>
            </w:pPr>
            <w:r w:rsidRPr="007206C3">
              <w:rPr>
                <w:sz w:val="28"/>
                <w:szCs w:val="28"/>
                <w:lang w:val="pt-BR"/>
              </w:rPr>
              <w:t>- Đối với Dự án A, để được xem xét ưu đãi và hỗ trợ đề nghị Công ty gửi Hồ sơ dự án tới Sở Kế hoạch và Đầu tư của địa phương có Dự án A (theo quy định tại Điều 17 Nghị định 57/2018/NĐ-CP và Thông tư hướng dẫn thực hiện số 04/2018/TT-BKHĐT ngày 06/12/2018 của Bộ Kế hoạch và Đầu tư) để được xem xét giải quyết./.</w:t>
            </w:r>
          </w:p>
        </w:tc>
      </w:tr>
      <w:tr w:rsidR="00740C5B" w:rsidRPr="007206C3" w:rsidTr="009213F7">
        <w:trPr>
          <w:jc w:val="center"/>
        </w:trPr>
        <w:tc>
          <w:tcPr>
            <w:tcW w:w="851" w:type="dxa"/>
            <w:vAlign w:val="center"/>
          </w:tcPr>
          <w:p w:rsidR="00740C5B" w:rsidRPr="00DA4D1D" w:rsidRDefault="00DA4D1D" w:rsidP="00DB4309">
            <w:pPr>
              <w:spacing w:before="240" w:after="120"/>
              <w:ind w:firstLine="0"/>
              <w:jc w:val="center"/>
              <w:rPr>
                <w:sz w:val="28"/>
                <w:szCs w:val="28"/>
              </w:rPr>
            </w:pPr>
            <w:r>
              <w:rPr>
                <w:sz w:val="28"/>
                <w:szCs w:val="28"/>
              </w:rPr>
              <w:t>2</w:t>
            </w:r>
          </w:p>
        </w:tc>
        <w:tc>
          <w:tcPr>
            <w:tcW w:w="5386" w:type="dxa"/>
            <w:vAlign w:val="center"/>
          </w:tcPr>
          <w:p w:rsidR="00740C5B" w:rsidRPr="007206C3" w:rsidRDefault="00740C5B" w:rsidP="00DB4309">
            <w:pPr>
              <w:widowControl w:val="0"/>
              <w:spacing w:before="240" w:after="120"/>
              <w:ind w:firstLine="0"/>
              <w:rPr>
                <w:sz w:val="28"/>
                <w:szCs w:val="28"/>
                <w:lang w:val="pt-BR"/>
              </w:rPr>
            </w:pPr>
            <w:r w:rsidRPr="007206C3">
              <w:rPr>
                <w:sz w:val="28"/>
                <w:szCs w:val="28"/>
                <w:lang w:val="pt-BR"/>
              </w:rPr>
              <w:t>Đề nghị hướng dẫn thực hiện đối với các dự án chuyển tiếp theo quy định tại Khoản 3 và Khoản 4 Điều 20 Nghị định số 57/2018/NĐ-CP ngày 17/4/2018?</w:t>
            </w:r>
          </w:p>
        </w:tc>
        <w:tc>
          <w:tcPr>
            <w:tcW w:w="9484" w:type="dxa"/>
            <w:vAlign w:val="center"/>
          </w:tcPr>
          <w:p w:rsidR="00740C5B" w:rsidRPr="007206C3" w:rsidRDefault="00740C5B" w:rsidP="00DB4309">
            <w:pPr>
              <w:widowControl w:val="0"/>
              <w:spacing w:before="240" w:after="120"/>
              <w:ind w:firstLine="0"/>
              <w:rPr>
                <w:sz w:val="28"/>
                <w:szCs w:val="28"/>
                <w:lang w:val="pt-BR"/>
              </w:rPr>
            </w:pPr>
            <w:r w:rsidRPr="007206C3">
              <w:rPr>
                <w:sz w:val="28"/>
                <w:szCs w:val="28"/>
                <w:lang w:val="pt-BR"/>
              </w:rPr>
              <w:t>Đối với việc ưu đãi, hỗ trợ các dự án chuyển tiếp (trước và sau khi Nghị định 57/2018/NĐ-CP có hiệu lực) cần căn cứ cụ thể vào nội dung, hạng mục đầu tư của dự án đề nghị hỗ trợ từ ngân sách nhà nước, cụ thể: Trường hợp, hạng mục đầu tư đã được đầu tư trước ngày Nghị định 57/2018/NĐ-CP có hiệu lực và thuộc đối tượng hỗ trợ thì áp dụng Nghị định 210/2013/NĐ-CP để hỗ trợ.</w:t>
            </w:r>
          </w:p>
          <w:p w:rsidR="00740C5B" w:rsidRPr="007206C3" w:rsidRDefault="00740C5B" w:rsidP="00DB4309">
            <w:pPr>
              <w:widowControl w:val="0"/>
              <w:spacing w:before="240" w:after="120"/>
              <w:ind w:firstLine="0"/>
              <w:rPr>
                <w:sz w:val="28"/>
                <w:szCs w:val="28"/>
                <w:lang w:val="pt-BR"/>
              </w:rPr>
            </w:pPr>
            <w:r w:rsidRPr="007206C3">
              <w:rPr>
                <w:sz w:val="28"/>
                <w:szCs w:val="28"/>
                <w:lang w:val="pt-BR"/>
              </w:rPr>
              <w:t>Trường hợp hạng mục dự án được đầu tư xây dựng sau ngày Nghị định 57/2018/NĐ-CP có hiệu lực thì nghiệm thu và hỗ trợ theo quy định tại Nghị định này.</w:t>
            </w:r>
          </w:p>
        </w:tc>
      </w:tr>
      <w:tr w:rsidR="00740C5B" w:rsidRPr="007206C3" w:rsidTr="009213F7">
        <w:trPr>
          <w:jc w:val="center"/>
        </w:trPr>
        <w:tc>
          <w:tcPr>
            <w:tcW w:w="851" w:type="dxa"/>
            <w:vAlign w:val="center"/>
          </w:tcPr>
          <w:p w:rsidR="00740C5B" w:rsidRPr="00DA4D1D" w:rsidRDefault="00DA4D1D" w:rsidP="00DB4309">
            <w:pPr>
              <w:spacing w:before="240" w:after="120"/>
              <w:ind w:firstLine="0"/>
              <w:jc w:val="center"/>
              <w:rPr>
                <w:sz w:val="28"/>
                <w:szCs w:val="28"/>
              </w:rPr>
            </w:pPr>
            <w:r>
              <w:rPr>
                <w:sz w:val="28"/>
                <w:szCs w:val="28"/>
              </w:rPr>
              <w:t>3</w:t>
            </w:r>
          </w:p>
        </w:tc>
        <w:tc>
          <w:tcPr>
            <w:tcW w:w="5386" w:type="dxa"/>
            <w:vAlign w:val="center"/>
          </w:tcPr>
          <w:p w:rsidR="00740C5B" w:rsidRPr="007206C3" w:rsidRDefault="00740C5B" w:rsidP="00DB4309">
            <w:pPr>
              <w:widowControl w:val="0"/>
              <w:spacing w:before="240" w:after="120"/>
              <w:ind w:firstLine="0"/>
              <w:rPr>
                <w:sz w:val="28"/>
                <w:szCs w:val="28"/>
                <w:lang w:val="pt-BR"/>
              </w:rPr>
            </w:pPr>
            <w:r w:rsidRPr="007206C3">
              <w:rPr>
                <w:sz w:val="28"/>
                <w:szCs w:val="28"/>
                <w:lang w:val="pt-BR"/>
              </w:rPr>
              <w:t>Trong trường hợp tại Nghị định 57/2018/NĐ-CP có các mức ưu đãi, hỗ trợ khác nhau cho cùng một đối tượng thì doanh nghiệp được ưu đãi, hỗ trợ theo mức nào?</w:t>
            </w:r>
          </w:p>
        </w:tc>
        <w:tc>
          <w:tcPr>
            <w:tcW w:w="9484" w:type="dxa"/>
            <w:vAlign w:val="center"/>
          </w:tcPr>
          <w:p w:rsidR="00740C5B" w:rsidRPr="007206C3" w:rsidRDefault="00740C5B" w:rsidP="00DB4309">
            <w:pPr>
              <w:widowControl w:val="0"/>
              <w:spacing w:before="240" w:after="120"/>
              <w:ind w:firstLine="0"/>
              <w:rPr>
                <w:sz w:val="28"/>
                <w:szCs w:val="28"/>
                <w:lang w:val="pt-BR"/>
              </w:rPr>
            </w:pPr>
            <w:r w:rsidRPr="007206C3">
              <w:rPr>
                <w:sz w:val="28"/>
                <w:szCs w:val="28"/>
                <w:lang w:val="pt-BR"/>
              </w:rPr>
              <w:t>Đề nghị thực hiện theo quy định  tại khoản 5, Điều 4 Nghị định 57/2018/NĐ-CP, quy định “Trong cùng một thời gian, nếu dự án đầu tư được hưởng ưu đãi, hỗ trợ đầu tư có các mức hỗ trợ khác nhau thì doanh nghiệp được lựa chọn áp dụng mức ưu đãi, hỗ trợ đầu tư có lợi nhất”.</w:t>
            </w:r>
          </w:p>
        </w:tc>
      </w:tr>
      <w:bookmarkEnd w:id="0"/>
      <w:tr w:rsidR="00740C5B" w:rsidRPr="007206C3" w:rsidTr="009213F7">
        <w:trPr>
          <w:jc w:val="center"/>
        </w:trPr>
        <w:tc>
          <w:tcPr>
            <w:tcW w:w="851" w:type="dxa"/>
            <w:vAlign w:val="center"/>
          </w:tcPr>
          <w:p w:rsidR="00740C5B" w:rsidRPr="00DA4D1D" w:rsidRDefault="00DA4D1D" w:rsidP="009213F7">
            <w:pPr>
              <w:spacing w:after="120"/>
              <w:ind w:firstLine="0"/>
              <w:jc w:val="center"/>
              <w:rPr>
                <w:sz w:val="28"/>
                <w:szCs w:val="28"/>
              </w:rPr>
            </w:pPr>
            <w:r>
              <w:rPr>
                <w:sz w:val="28"/>
                <w:szCs w:val="28"/>
              </w:rPr>
              <w:lastRenderedPageBreak/>
              <w:t>4</w:t>
            </w:r>
          </w:p>
        </w:tc>
        <w:tc>
          <w:tcPr>
            <w:tcW w:w="5386" w:type="dxa"/>
            <w:vAlign w:val="center"/>
          </w:tcPr>
          <w:p w:rsidR="00740C5B" w:rsidRPr="007206C3" w:rsidRDefault="00740C5B" w:rsidP="009213F7">
            <w:pPr>
              <w:widowControl w:val="0"/>
              <w:spacing w:after="120"/>
              <w:ind w:firstLine="0"/>
              <w:rPr>
                <w:sz w:val="28"/>
                <w:szCs w:val="28"/>
                <w:lang w:val="pt-BR"/>
              </w:rPr>
            </w:pPr>
            <w:r w:rsidRPr="007206C3">
              <w:rPr>
                <w:sz w:val="28"/>
                <w:szCs w:val="28"/>
                <w:lang w:val="pt-BR"/>
              </w:rPr>
              <w:t>Trường hợp có từ 02 doanh nghiệp trở lên cùng đăng ký thực hiện dự án đầu tư theo quy định tại Nghị định 57/2018/NĐ-CP thì lựa chọn doanh nghiệp nào?</w:t>
            </w:r>
          </w:p>
        </w:tc>
        <w:tc>
          <w:tcPr>
            <w:tcW w:w="9484" w:type="dxa"/>
            <w:vAlign w:val="center"/>
          </w:tcPr>
          <w:p w:rsidR="00740C5B" w:rsidRPr="007206C3" w:rsidRDefault="00740C5B" w:rsidP="009213F7">
            <w:pPr>
              <w:widowControl w:val="0"/>
              <w:spacing w:after="120"/>
              <w:ind w:firstLine="0"/>
              <w:rPr>
                <w:sz w:val="28"/>
                <w:szCs w:val="28"/>
                <w:lang w:val="pt-BR"/>
              </w:rPr>
            </w:pPr>
            <w:r w:rsidRPr="007206C3">
              <w:rPr>
                <w:sz w:val="28"/>
                <w:szCs w:val="28"/>
                <w:lang w:val="pt-BR"/>
              </w:rPr>
              <w:t>Đề nghị thực hiện theo quy định  tại khoản 5, Điều 4 Nghị định 57/2018/NĐ-CP, quy định “Trong cùng một thời gian, nếu dự án đầu tư được hưởng ưu đãi, hỗ trợ đầu tư có các mức hỗ trợ khác nhau thì doanh nghiệp được lựa chọn áp dụng mức ưu đãi, hỗ trợ đầu tư có lợi nhất”.</w:t>
            </w:r>
          </w:p>
          <w:p w:rsidR="00740C5B" w:rsidRPr="007206C3" w:rsidRDefault="00740C5B" w:rsidP="009213F7">
            <w:pPr>
              <w:widowControl w:val="0"/>
              <w:spacing w:after="120"/>
              <w:ind w:firstLine="0"/>
              <w:rPr>
                <w:sz w:val="28"/>
                <w:szCs w:val="28"/>
                <w:lang w:val="pt-BR"/>
              </w:rPr>
            </w:pPr>
            <w:r w:rsidRPr="007206C3">
              <w:rPr>
                <w:sz w:val="28"/>
                <w:szCs w:val="28"/>
                <w:lang w:val="pt-BR"/>
              </w:rPr>
              <w:t>Tại điểm b, khoản 1 Điều 16 Nghị định 57/2018/NĐ-CP hướng dẫn lựa chọn nhà đầu tư theo quy định của pháp luật đấu thầu.</w:t>
            </w:r>
          </w:p>
        </w:tc>
      </w:tr>
      <w:tr w:rsidR="00740C5B" w:rsidRPr="007206C3" w:rsidTr="009213F7">
        <w:trPr>
          <w:jc w:val="center"/>
        </w:trPr>
        <w:tc>
          <w:tcPr>
            <w:tcW w:w="851" w:type="dxa"/>
            <w:vAlign w:val="center"/>
          </w:tcPr>
          <w:p w:rsidR="00740C5B" w:rsidRPr="00DA4D1D" w:rsidRDefault="00DA4D1D" w:rsidP="009213F7">
            <w:pPr>
              <w:spacing w:after="120"/>
              <w:ind w:firstLine="0"/>
              <w:jc w:val="center"/>
              <w:rPr>
                <w:sz w:val="28"/>
                <w:szCs w:val="28"/>
              </w:rPr>
            </w:pPr>
            <w:r>
              <w:rPr>
                <w:sz w:val="28"/>
                <w:szCs w:val="28"/>
              </w:rPr>
              <w:t>5</w:t>
            </w:r>
          </w:p>
        </w:tc>
        <w:tc>
          <w:tcPr>
            <w:tcW w:w="5386" w:type="dxa"/>
            <w:vAlign w:val="center"/>
          </w:tcPr>
          <w:p w:rsidR="00740C5B" w:rsidRPr="007206C3" w:rsidRDefault="00740C5B" w:rsidP="009213F7">
            <w:pPr>
              <w:widowControl w:val="0"/>
              <w:spacing w:after="120"/>
              <w:ind w:firstLine="0"/>
              <w:rPr>
                <w:sz w:val="28"/>
                <w:szCs w:val="28"/>
                <w:lang w:val="vi-VN"/>
              </w:rPr>
            </w:pPr>
            <w:r w:rsidRPr="007206C3">
              <w:rPr>
                <w:sz w:val="28"/>
                <w:szCs w:val="28"/>
                <w:lang w:val="pt-BR"/>
              </w:rPr>
              <w:t>Dự án thuộc danh mục dự án khuyến khích doanh nghiệp đầu tư vào nông nghiệp, nông thôn đã được Ủy ban nhân dân cấp tỉnh phê duyệt theo quy định tại Nghị định 57/2018/NĐ-CP thì có phải thực hiện lại thủ tục cấp quyết định chủ trương đầu tư theo quy định tại Luật Đầu tư không</w:t>
            </w:r>
            <w:r w:rsidRPr="007206C3">
              <w:rPr>
                <w:sz w:val="28"/>
                <w:szCs w:val="28"/>
                <w:lang w:val="vi-VN"/>
              </w:rPr>
              <w:t>?</w:t>
            </w:r>
          </w:p>
        </w:tc>
        <w:tc>
          <w:tcPr>
            <w:tcW w:w="9484" w:type="dxa"/>
            <w:vAlign w:val="center"/>
          </w:tcPr>
          <w:p w:rsidR="00740C5B" w:rsidRPr="007206C3" w:rsidRDefault="00740C5B" w:rsidP="009213F7">
            <w:pPr>
              <w:widowControl w:val="0"/>
              <w:spacing w:after="120"/>
              <w:ind w:firstLine="0"/>
              <w:rPr>
                <w:sz w:val="28"/>
                <w:szCs w:val="28"/>
                <w:lang w:val="pt-BR"/>
              </w:rPr>
            </w:pPr>
            <w:r w:rsidRPr="007206C3">
              <w:rPr>
                <w:sz w:val="28"/>
                <w:szCs w:val="28"/>
                <w:lang w:val="pt-BR"/>
              </w:rPr>
              <w:t>Theo quy định tại điểm b, khoản 1 Điều 16 Nghị định 57/2018/NĐ-CP, các Dự án thuộc danh mục dự án khuyến khích doanh nghiệp đầu tư vào nông nghiệp, nông thôn đã được UBND cấp tỉnh phê duyệt thì Quyết định này  là quyết định chủ trương đầu tư theo quy định tại Điều 32 Luật Đầu tư, do đó không cần thực hiện lại thủ tục cấp quyết định chủ trương đầu tư.</w:t>
            </w:r>
          </w:p>
        </w:tc>
      </w:tr>
      <w:tr w:rsidR="00740C5B" w:rsidRPr="007206C3" w:rsidTr="009213F7">
        <w:trPr>
          <w:jc w:val="center"/>
        </w:trPr>
        <w:tc>
          <w:tcPr>
            <w:tcW w:w="851" w:type="dxa"/>
            <w:vAlign w:val="center"/>
          </w:tcPr>
          <w:p w:rsidR="00740C5B" w:rsidRPr="00DA4D1D" w:rsidRDefault="00DA4D1D" w:rsidP="009213F7">
            <w:pPr>
              <w:spacing w:after="120"/>
              <w:ind w:firstLine="0"/>
              <w:jc w:val="center"/>
              <w:rPr>
                <w:sz w:val="28"/>
                <w:szCs w:val="28"/>
              </w:rPr>
            </w:pPr>
            <w:r>
              <w:rPr>
                <w:sz w:val="28"/>
                <w:szCs w:val="28"/>
              </w:rPr>
              <w:t>6</w:t>
            </w:r>
          </w:p>
        </w:tc>
        <w:tc>
          <w:tcPr>
            <w:tcW w:w="5386" w:type="dxa"/>
            <w:vAlign w:val="center"/>
          </w:tcPr>
          <w:p w:rsidR="00740C5B" w:rsidRPr="007206C3" w:rsidRDefault="00740C5B" w:rsidP="009213F7">
            <w:pPr>
              <w:widowControl w:val="0"/>
              <w:spacing w:after="120"/>
              <w:ind w:firstLine="0"/>
              <w:rPr>
                <w:sz w:val="28"/>
                <w:szCs w:val="28"/>
                <w:lang w:val="pt-BR"/>
              </w:rPr>
            </w:pPr>
            <w:r w:rsidRPr="007206C3">
              <w:rPr>
                <w:sz w:val="28"/>
                <w:szCs w:val="28"/>
                <w:lang w:val="pt-BR"/>
              </w:rPr>
              <w:t>Về nguyên tắc và cơ chế hỗ trợ từ ngân sách nhà nước cho doanh nghiệp theo quy định tại Nghị định 57/2018/NĐ-CP như thế nào?</w:t>
            </w:r>
          </w:p>
          <w:p w:rsidR="00740C5B" w:rsidRPr="007206C3" w:rsidRDefault="00740C5B" w:rsidP="009213F7">
            <w:pPr>
              <w:widowControl w:val="0"/>
              <w:tabs>
                <w:tab w:val="left" w:pos="930"/>
              </w:tabs>
              <w:spacing w:after="120"/>
              <w:ind w:firstLine="0"/>
              <w:rPr>
                <w:sz w:val="28"/>
                <w:szCs w:val="28"/>
                <w:lang w:val="pt-BR"/>
              </w:rPr>
            </w:pPr>
          </w:p>
        </w:tc>
        <w:tc>
          <w:tcPr>
            <w:tcW w:w="9484" w:type="dxa"/>
            <w:vAlign w:val="center"/>
          </w:tcPr>
          <w:p w:rsidR="00740C5B" w:rsidRPr="007206C3" w:rsidRDefault="00740C5B" w:rsidP="009213F7">
            <w:pPr>
              <w:widowControl w:val="0"/>
              <w:spacing w:after="120"/>
              <w:ind w:firstLine="0"/>
              <w:rPr>
                <w:sz w:val="28"/>
                <w:szCs w:val="28"/>
                <w:lang w:val="pt-BR"/>
              </w:rPr>
            </w:pPr>
            <w:r w:rsidRPr="007206C3">
              <w:rPr>
                <w:sz w:val="28"/>
                <w:szCs w:val="28"/>
                <w:lang w:val="pt-BR"/>
              </w:rPr>
              <w:t>- Dự án đầu tư là của doanh nghiệp do đó doanh nghiệp sẽ thực hiện việc phê duyệt quyết định đầu tư theo quy định tại điểm a, khoản 3, Điều 19 Nghị định 57/2018/NĐ-CP.</w:t>
            </w:r>
          </w:p>
          <w:p w:rsidR="00740C5B" w:rsidRPr="007206C3" w:rsidRDefault="00740C5B" w:rsidP="009213F7">
            <w:pPr>
              <w:widowControl w:val="0"/>
              <w:spacing w:after="120"/>
              <w:ind w:firstLine="0"/>
              <w:rPr>
                <w:sz w:val="28"/>
                <w:szCs w:val="28"/>
                <w:lang w:val="pt-BR"/>
              </w:rPr>
            </w:pPr>
            <w:r w:rsidRPr="007206C3">
              <w:rPr>
                <w:sz w:val="28"/>
                <w:szCs w:val="28"/>
                <w:lang w:val="pt-BR"/>
              </w:rPr>
              <w:t>- Nhà nước là hỗ trợ sau đầu tư, sau khi dự án đã được nghiệm thu hoàn thành. Đối với các khoản hỗ trợ dự án từ ngân sách nhà nước (tỉnh, trung ương) đề nghị thực hiện theo trình tự thẩm định của Luật Đầu tư công.</w:t>
            </w:r>
          </w:p>
        </w:tc>
      </w:tr>
      <w:tr w:rsidR="00740C5B" w:rsidRPr="007206C3" w:rsidTr="009213F7">
        <w:trPr>
          <w:jc w:val="center"/>
        </w:trPr>
        <w:tc>
          <w:tcPr>
            <w:tcW w:w="851" w:type="dxa"/>
            <w:vAlign w:val="center"/>
          </w:tcPr>
          <w:p w:rsidR="00740C5B" w:rsidRPr="00DA4D1D" w:rsidRDefault="00DA4D1D" w:rsidP="009213F7">
            <w:pPr>
              <w:spacing w:after="120"/>
              <w:ind w:firstLine="0"/>
              <w:jc w:val="center"/>
              <w:rPr>
                <w:sz w:val="28"/>
                <w:szCs w:val="28"/>
              </w:rPr>
            </w:pPr>
            <w:r>
              <w:rPr>
                <w:sz w:val="28"/>
                <w:szCs w:val="28"/>
              </w:rPr>
              <w:t>7</w:t>
            </w:r>
          </w:p>
        </w:tc>
        <w:tc>
          <w:tcPr>
            <w:tcW w:w="5386" w:type="dxa"/>
            <w:vAlign w:val="center"/>
          </w:tcPr>
          <w:p w:rsidR="00740C5B" w:rsidRPr="007206C3" w:rsidRDefault="00740C5B" w:rsidP="009213F7">
            <w:pPr>
              <w:widowControl w:val="0"/>
              <w:spacing w:after="120"/>
              <w:ind w:firstLine="0"/>
              <w:rPr>
                <w:sz w:val="28"/>
                <w:szCs w:val="28"/>
                <w:lang w:val="pt-BR"/>
              </w:rPr>
            </w:pPr>
            <w:r w:rsidRPr="007206C3">
              <w:rPr>
                <w:sz w:val="28"/>
                <w:szCs w:val="28"/>
                <w:lang w:val="pt-BR"/>
              </w:rPr>
              <w:t>Đề nghị Bộ Kế hoạch và Đầu tư xem xét cấp vốn để hỗ trợ các dự á thuộc đối tượng hỗ trợ quy định tịa Nghị định 57/2018/NĐ-CP?</w:t>
            </w:r>
          </w:p>
        </w:tc>
        <w:tc>
          <w:tcPr>
            <w:tcW w:w="9484" w:type="dxa"/>
            <w:vAlign w:val="center"/>
          </w:tcPr>
          <w:p w:rsidR="00740C5B" w:rsidRPr="007206C3" w:rsidRDefault="00740C5B" w:rsidP="009213F7">
            <w:pPr>
              <w:widowControl w:val="0"/>
              <w:spacing w:after="120"/>
              <w:ind w:firstLine="0"/>
              <w:rPr>
                <w:sz w:val="28"/>
                <w:szCs w:val="28"/>
                <w:lang w:val="pt-BR"/>
              </w:rPr>
            </w:pPr>
            <w:r w:rsidRPr="007206C3">
              <w:rPr>
                <w:sz w:val="28"/>
                <w:szCs w:val="28"/>
                <w:lang w:val="pt-BR"/>
              </w:rPr>
              <w:t>Trước mắt, đề nghị Tỉnh sử dụng nguồn vốn từ ngân sách địa phương để hỗ trợ các dự án này. Bộ KH&amp;ĐT ghi nhận đề xuất của Tỉnh và sẽ báo cáo cấp thẩm quyền xem xét, hỗ trợ tỉnh nguồn vốn thực hiện Nghị định 57/2018/NĐ-CP khi có điều kiện về nguồn vốn.</w:t>
            </w:r>
          </w:p>
        </w:tc>
      </w:tr>
    </w:tbl>
    <w:p w:rsidR="003201F8" w:rsidRPr="007206C3" w:rsidRDefault="003201F8" w:rsidP="0065053E">
      <w:pPr>
        <w:spacing w:after="120"/>
        <w:ind w:firstLine="0"/>
        <w:rPr>
          <w:sz w:val="28"/>
          <w:szCs w:val="28"/>
        </w:rPr>
      </w:pPr>
    </w:p>
    <w:sectPr w:rsidR="003201F8" w:rsidRPr="007206C3" w:rsidSect="0065053E">
      <w:footerReference w:type="default" r:id="rId8"/>
      <w:pgSz w:w="16840" w:h="11907" w:orient="landscape" w:code="9"/>
      <w:pgMar w:top="680" w:right="567" w:bottom="567" w:left="567"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E47" w:rsidRDefault="00254E47" w:rsidP="00740C5B">
      <w:pPr>
        <w:spacing w:before="0"/>
      </w:pPr>
      <w:r>
        <w:separator/>
      </w:r>
    </w:p>
  </w:endnote>
  <w:endnote w:type="continuationSeparator" w:id="0">
    <w:p w:rsidR="00254E47" w:rsidRDefault="00254E47" w:rsidP="00740C5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228145"/>
      <w:docPartObj>
        <w:docPartGallery w:val="Page Numbers (Bottom of Page)"/>
        <w:docPartUnique/>
      </w:docPartObj>
    </w:sdtPr>
    <w:sdtEndPr/>
    <w:sdtContent>
      <w:p w:rsidR="006A571A" w:rsidRDefault="00E33CBB">
        <w:pPr>
          <w:pStyle w:val="Footer"/>
          <w:jc w:val="right"/>
        </w:pPr>
        <w:r>
          <w:fldChar w:fldCharType="begin"/>
        </w:r>
        <w:r>
          <w:instrText xml:space="preserve"> PAGE   \* MERGEFORMAT </w:instrText>
        </w:r>
        <w:r>
          <w:fldChar w:fldCharType="separate"/>
        </w:r>
        <w:r w:rsidR="00DB4309">
          <w:rPr>
            <w:noProof/>
          </w:rPr>
          <w:t>2</w:t>
        </w:r>
        <w:r>
          <w:rPr>
            <w:noProof/>
          </w:rPr>
          <w:fldChar w:fldCharType="end"/>
        </w:r>
      </w:p>
    </w:sdtContent>
  </w:sdt>
  <w:p w:rsidR="006A571A" w:rsidRDefault="006A57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E47" w:rsidRDefault="00254E47" w:rsidP="00740C5B">
      <w:pPr>
        <w:spacing w:before="0"/>
      </w:pPr>
      <w:r>
        <w:separator/>
      </w:r>
    </w:p>
  </w:footnote>
  <w:footnote w:type="continuationSeparator" w:id="0">
    <w:p w:rsidR="00254E47" w:rsidRDefault="00254E47" w:rsidP="00740C5B">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7162"/>
    <w:multiLevelType w:val="hybridMultilevel"/>
    <w:tmpl w:val="3B489974"/>
    <w:lvl w:ilvl="0" w:tplc="0409000F">
      <w:start w:val="1"/>
      <w:numFmt w:val="decimal"/>
      <w:lvlText w:val="%1."/>
      <w:lvlJc w:val="left"/>
      <w:pPr>
        <w:ind w:left="612" w:hanging="360"/>
      </w:p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
    <w:nsid w:val="09911F5E"/>
    <w:multiLevelType w:val="hybridMultilevel"/>
    <w:tmpl w:val="58508D62"/>
    <w:lvl w:ilvl="0" w:tplc="0409000F">
      <w:start w:val="1"/>
      <w:numFmt w:val="decimal"/>
      <w:lvlText w:val="%1."/>
      <w:lvlJc w:val="left"/>
      <w:pPr>
        <w:ind w:left="1440" w:hanging="360"/>
      </w:pPr>
    </w:lvl>
    <w:lvl w:ilvl="1" w:tplc="46F47FC6">
      <w:start w:val="1"/>
      <w:numFmt w:val="decimal"/>
      <w:suff w:val="space"/>
      <w:lvlText w:val="%2."/>
      <w:lvlJc w:val="left"/>
      <w:pPr>
        <w:ind w:left="0" w:firstLine="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04C6163"/>
    <w:multiLevelType w:val="hybridMultilevel"/>
    <w:tmpl w:val="EA5663DC"/>
    <w:lvl w:ilvl="0" w:tplc="0409000F">
      <w:start w:val="1"/>
      <w:numFmt w:val="decimal"/>
      <w:lvlText w:val="%1."/>
      <w:lvlJc w:val="left"/>
      <w:pPr>
        <w:ind w:left="1440" w:hanging="360"/>
      </w:pPr>
    </w:lvl>
    <w:lvl w:ilvl="1" w:tplc="642C5BEE">
      <w:start w:val="1"/>
      <w:numFmt w:val="decimal"/>
      <w:suff w:val="space"/>
      <w:lvlText w:val="%2."/>
      <w:lvlJc w:val="left"/>
      <w:pPr>
        <w:ind w:left="0" w:firstLine="720"/>
      </w:pPr>
      <w:rPr>
        <w:rFonts w:hint="default"/>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4A83260"/>
    <w:multiLevelType w:val="hybridMultilevel"/>
    <w:tmpl w:val="439C05BA"/>
    <w:lvl w:ilvl="0" w:tplc="0409000F">
      <w:start w:val="1"/>
      <w:numFmt w:val="decimal"/>
      <w:lvlText w:val="%1."/>
      <w:lvlJc w:val="left"/>
      <w:pPr>
        <w:ind w:left="1440" w:hanging="360"/>
      </w:pPr>
    </w:lvl>
    <w:lvl w:ilvl="1" w:tplc="21529180">
      <w:start w:val="1"/>
      <w:numFmt w:val="decimal"/>
      <w:suff w:val="space"/>
      <w:lvlText w:val="%2."/>
      <w:lvlJc w:val="left"/>
      <w:pPr>
        <w:ind w:left="0" w:firstLine="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E9165F5"/>
    <w:multiLevelType w:val="hybridMultilevel"/>
    <w:tmpl w:val="7B10AA8A"/>
    <w:lvl w:ilvl="0" w:tplc="C91CB00C">
      <w:start w:val="1"/>
      <w:numFmt w:val="decimal"/>
      <w:suff w:val="space"/>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AE2E2C"/>
    <w:multiLevelType w:val="hybridMultilevel"/>
    <w:tmpl w:val="ADC2A08C"/>
    <w:lvl w:ilvl="0" w:tplc="FFDC5B4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0F05C30"/>
    <w:multiLevelType w:val="multilevel"/>
    <w:tmpl w:val="752EE006"/>
    <w:lvl w:ilvl="0">
      <w:start w:val="1"/>
      <w:numFmt w:val="decimal"/>
      <w:suff w:val="space"/>
      <w:lvlText w:val="%1."/>
      <w:lvlJc w:val="left"/>
      <w:pPr>
        <w:ind w:left="0" w:firstLine="720"/>
      </w:pPr>
      <w:rPr>
        <w:rFonts w:hint="default"/>
      </w:rPr>
    </w:lvl>
    <w:lvl w:ilvl="1">
      <w:start w:val="1"/>
      <w:numFmt w:val="decimal"/>
      <w:lvlText w:val="%1.%2."/>
      <w:lvlJc w:val="left"/>
      <w:pPr>
        <w:tabs>
          <w:tab w:val="num" w:pos="720"/>
        </w:tabs>
        <w:ind w:left="0" w:firstLine="720"/>
      </w:pPr>
      <w:rPr>
        <w:rFonts w:hint="default"/>
      </w:rPr>
    </w:lvl>
    <w:lvl w:ilvl="2">
      <w:start w:val="1"/>
      <w:numFmt w:val="decimal"/>
      <w:lvlText w:val="%1.%2.%3."/>
      <w:lvlJc w:val="left"/>
      <w:pPr>
        <w:tabs>
          <w:tab w:val="num" w:pos="720"/>
        </w:tabs>
        <w:ind w:left="0" w:firstLine="720"/>
      </w:pPr>
      <w:rPr>
        <w:rFonts w:hint="default"/>
      </w:rPr>
    </w:lvl>
    <w:lvl w:ilvl="3">
      <w:start w:val="1"/>
      <w:numFmt w:val="decimal"/>
      <w:lvlText w:val="%1.%2.%3.%4."/>
      <w:lvlJc w:val="left"/>
      <w:pPr>
        <w:tabs>
          <w:tab w:val="num" w:pos="720"/>
        </w:tabs>
        <w:ind w:left="0" w:firstLine="720"/>
      </w:pPr>
      <w:rPr>
        <w:rFonts w:hint="default"/>
      </w:rPr>
    </w:lvl>
    <w:lvl w:ilvl="4">
      <w:start w:val="1"/>
      <w:numFmt w:val="decimal"/>
      <w:lvlText w:val="%1.%2.%3.%4.%5."/>
      <w:lvlJc w:val="left"/>
      <w:pPr>
        <w:tabs>
          <w:tab w:val="num" w:pos="720"/>
        </w:tabs>
        <w:ind w:left="0" w:firstLine="720"/>
      </w:pPr>
      <w:rPr>
        <w:rFonts w:hint="default"/>
      </w:rPr>
    </w:lvl>
    <w:lvl w:ilvl="5">
      <w:start w:val="1"/>
      <w:numFmt w:val="decimal"/>
      <w:lvlText w:val="%1.%2.%3.%4.%5.%6."/>
      <w:lvlJc w:val="left"/>
      <w:pPr>
        <w:tabs>
          <w:tab w:val="num" w:pos="720"/>
        </w:tabs>
        <w:ind w:left="0" w:firstLine="720"/>
      </w:pPr>
      <w:rPr>
        <w:rFonts w:hint="default"/>
      </w:rPr>
    </w:lvl>
    <w:lvl w:ilvl="6">
      <w:start w:val="1"/>
      <w:numFmt w:val="decimal"/>
      <w:lvlText w:val="%1.%2.%3.%4.%5.%6.%7."/>
      <w:lvlJc w:val="left"/>
      <w:pPr>
        <w:tabs>
          <w:tab w:val="num" w:pos="720"/>
        </w:tabs>
        <w:ind w:left="0" w:firstLine="720"/>
      </w:pPr>
      <w:rPr>
        <w:rFonts w:hint="default"/>
      </w:rPr>
    </w:lvl>
    <w:lvl w:ilvl="7">
      <w:start w:val="1"/>
      <w:numFmt w:val="decimal"/>
      <w:lvlText w:val="%1.%2.%3.%4.%5.%6.%7.%8."/>
      <w:lvlJc w:val="left"/>
      <w:pPr>
        <w:tabs>
          <w:tab w:val="num" w:pos="720"/>
        </w:tabs>
        <w:ind w:left="0" w:firstLine="720"/>
      </w:pPr>
      <w:rPr>
        <w:rFonts w:hint="default"/>
      </w:rPr>
    </w:lvl>
    <w:lvl w:ilvl="8">
      <w:start w:val="1"/>
      <w:numFmt w:val="decimal"/>
      <w:lvlText w:val="%1.%2.%3.%4.%5.%6.%7.%8.%9."/>
      <w:lvlJc w:val="left"/>
      <w:pPr>
        <w:tabs>
          <w:tab w:val="num" w:pos="720"/>
        </w:tabs>
        <w:ind w:left="0" w:firstLine="720"/>
      </w:pPr>
      <w:rPr>
        <w:rFonts w:hint="default"/>
      </w:rPr>
    </w:lvl>
  </w:abstractNum>
  <w:abstractNum w:abstractNumId="7">
    <w:nsid w:val="2A8561CC"/>
    <w:multiLevelType w:val="hybridMultilevel"/>
    <w:tmpl w:val="3664F2A4"/>
    <w:lvl w:ilvl="0" w:tplc="73E6A826">
      <w:start w:val="1"/>
      <w:numFmt w:val="decimal"/>
      <w:suff w:val="space"/>
      <w:lvlText w:val="%1."/>
      <w:lvlJc w:val="left"/>
      <w:pPr>
        <w:ind w:left="-630" w:firstLine="72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8">
    <w:nsid w:val="2EB46B33"/>
    <w:multiLevelType w:val="hybridMultilevel"/>
    <w:tmpl w:val="A52C11A6"/>
    <w:lvl w:ilvl="0" w:tplc="78E8E186">
      <w:start w:val="1"/>
      <w:numFmt w:val="decimal"/>
      <w:suff w:val="space"/>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1205A3"/>
    <w:multiLevelType w:val="hybridMultilevel"/>
    <w:tmpl w:val="F15ACF74"/>
    <w:lvl w:ilvl="0" w:tplc="40CE94D0">
      <w:start w:val="1"/>
      <w:numFmt w:val="decimal"/>
      <w:suff w:val="space"/>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A17B70"/>
    <w:multiLevelType w:val="hybridMultilevel"/>
    <w:tmpl w:val="565C74A0"/>
    <w:lvl w:ilvl="0" w:tplc="0409000F">
      <w:start w:val="1"/>
      <w:numFmt w:val="decimal"/>
      <w:lvlText w:val="%1."/>
      <w:lvlJc w:val="left"/>
      <w:pPr>
        <w:ind w:left="1440" w:hanging="360"/>
      </w:pPr>
    </w:lvl>
    <w:lvl w:ilvl="1" w:tplc="9D7632A8">
      <w:start w:val="1"/>
      <w:numFmt w:val="decimal"/>
      <w:suff w:val="space"/>
      <w:lvlText w:val="%2."/>
      <w:lvlJc w:val="left"/>
      <w:pPr>
        <w:ind w:left="0" w:firstLine="720"/>
      </w:pPr>
      <w:rPr>
        <w:rFonts w:hint="default"/>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C6A50F3"/>
    <w:multiLevelType w:val="hybridMultilevel"/>
    <w:tmpl w:val="919C81C6"/>
    <w:lvl w:ilvl="0" w:tplc="4FF03826">
      <w:start w:val="1"/>
      <w:numFmt w:val="decimal"/>
      <w:suff w:val="space"/>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533CDB"/>
    <w:multiLevelType w:val="hybridMultilevel"/>
    <w:tmpl w:val="253E0906"/>
    <w:lvl w:ilvl="0" w:tplc="C1266110">
      <w:start w:val="3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BB3251"/>
    <w:multiLevelType w:val="hybridMultilevel"/>
    <w:tmpl w:val="B2AE3BAA"/>
    <w:lvl w:ilvl="0" w:tplc="0409000F">
      <w:start w:val="1"/>
      <w:numFmt w:val="decimal"/>
      <w:lvlText w:val="%1."/>
      <w:lvlJc w:val="left"/>
      <w:pPr>
        <w:ind w:left="1440" w:hanging="360"/>
      </w:pPr>
    </w:lvl>
    <w:lvl w:ilvl="1" w:tplc="33162CC8">
      <w:start w:val="1"/>
      <w:numFmt w:val="decimal"/>
      <w:suff w:val="space"/>
      <w:lvlText w:val="%2."/>
      <w:lvlJc w:val="left"/>
      <w:pPr>
        <w:ind w:left="0" w:firstLine="720"/>
      </w:pPr>
      <w:rPr>
        <w:rFonts w:hint="default"/>
        <w:b w:val="0"/>
        <w:i w:val="0"/>
        <w:color w:val="00000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EF974CA"/>
    <w:multiLevelType w:val="hybridMultilevel"/>
    <w:tmpl w:val="59940368"/>
    <w:lvl w:ilvl="0" w:tplc="E7B80CC2">
      <w:start w:val="1"/>
      <w:numFmt w:val="decimal"/>
      <w:suff w:val="space"/>
      <w:lvlText w:val="%1."/>
      <w:lvlJc w:val="left"/>
      <w:pPr>
        <w:ind w:left="0" w:firstLine="720"/>
      </w:pPr>
      <w:rPr>
        <w:rFonts w:ascii="Times New Roman" w:hAnsi="Times New Roman" w:cs="Times New Roman" w:hint="default"/>
        <w:b w:val="0"/>
        <w:i w:val="0"/>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061579B"/>
    <w:multiLevelType w:val="hybridMultilevel"/>
    <w:tmpl w:val="CD3034F0"/>
    <w:lvl w:ilvl="0" w:tplc="0409000F">
      <w:start w:val="1"/>
      <w:numFmt w:val="decimal"/>
      <w:lvlText w:val="%1."/>
      <w:lvlJc w:val="left"/>
      <w:pPr>
        <w:ind w:left="1440" w:hanging="360"/>
      </w:pPr>
    </w:lvl>
    <w:lvl w:ilvl="1" w:tplc="7F4AD584">
      <w:start w:val="1"/>
      <w:numFmt w:val="decimal"/>
      <w:suff w:val="space"/>
      <w:lvlText w:val="%2."/>
      <w:lvlJc w:val="left"/>
      <w:pPr>
        <w:ind w:left="0" w:firstLine="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F370E4C"/>
    <w:multiLevelType w:val="hybridMultilevel"/>
    <w:tmpl w:val="D7463854"/>
    <w:lvl w:ilvl="0" w:tplc="0409000F">
      <w:start w:val="1"/>
      <w:numFmt w:val="decimal"/>
      <w:lvlText w:val="%1."/>
      <w:lvlJc w:val="left"/>
      <w:pPr>
        <w:ind w:left="1440" w:hanging="360"/>
      </w:pPr>
    </w:lvl>
    <w:lvl w:ilvl="1" w:tplc="6396F198">
      <w:start w:val="1"/>
      <w:numFmt w:val="decimal"/>
      <w:suff w:val="space"/>
      <w:lvlText w:val="%2."/>
      <w:lvlJc w:val="left"/>
      <w:pPr>
        <w:ind w:left="0" w:firstLine="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B696AB9"/>
    <w:multiLevelType w:val="hybridMultilevel"/>
    <w:tmpl w:val="5770E990"/>
    <w:lvl w:ilvl="0" w:tplc="FFDC5B48">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AD809AD"/>
    <w:multiLevelType w:val="hybridMultilevel"/>
    <w:tmpl w:val="4E64CB54"/>
    <w:lvl w:ilvl="0" w:tplc="0409000F">
      <w:start w:val="1"/>
      <w:numFmt w:val="decimal"/>
      <w:lvlText w:val="%1."/>
      <w:lvlJc w:val="left"/>
      <w:pPr>
        <w:ind w:left="1440" w:hanging="360"/>
      </w:pPr>
    </w:lvl>
    <w:lvl w:ilvl="1" w:tplc="DD5E17BC">
      <w:start w:val="1"/>
      <w:numFmt w:val="decimal"/>
      <w:suff w:val="space"/>
      <w:lvlText w:val="%2."/>
      <w:lvlJc w:val="left"/>
      <w:pPr>
        <w:ind w:left="0" w:firstLine="720"/>
      </w:pPr>
      <w:rPr>
        <w:rFonts w:hint="default"/>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2"/>
  </w:num>
  <w:num w:numId="3">
    <w:abstractNumId w:val="5"/>
  </w:num>
  <w:num w:numId="4">
    <w:abstractNumId w:val="17"/>
  </w:num>
  <w:num w:numId="5">
    <w:abstractNumId w:val="9"/>
  </w:num>
  <w:num w:numId="6">
    <w:abstractNumId w:val="7"/>
  </w:num>
  <w:num w:numId="7">
    <w:abstractNumId w:val="6"/>
  </w:num>
  <w:num w:numId="8">
    <w:abstractNumId w:val="11"/>
  </w:num>
  <w:num w:numId="9">
    <w:abstractNumId w:val="8"/>
  </w:num>
  <w:num w:numId="10">
    <w:abstractNumId w:val="1"/>
  </w:num>
  <w:num w:numId="11">
    <w:abstractNumId w:val="4"/>
  </w:num>
  <w:num w:numId="12">
    <w:abstractNumId w:val="13"/>
  </w:num>
  <w:num w:numId="13">
    <w:abstractNumId w:val="3"/>
  </w:num>
  <w:num w:numId="14">
    <w:abstractNumId w:val="10"/>
  </w:num>
  <w:num w:numId="15">
    <w:abstractNumId w:val="2"/>
  </w:num>
  <w:num w:numId="16">
    <w:abstractNumId w:val="18"/>
  </w:num>
  <w:num w:numId="17">
    <w:abstractNumId w:val="16"/>
  </w:num>
  <w:num w:numId="18">
    <w:abstractNumId w:val="1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1F8"/>
    <w:rsid w:val="00066350"/>
    <w:rsid w:val="00095A71"/>
    <w:rsid w:val="000E6538"/>
    <w:rsid w:val="001006AD"/>
    <w:rsid w:val="00126E22"/>
    <w:rsid w:val="00147B99"/>
    <w:rsid w:val="00254E47"/>
    <w:rsid w:val="0030133D"/>
    <w:rsid w:val="00307E5A"/>
    <w:rsid w:val="003201F8"/>
    <w:rsid w:val="003B48E2"/>
    <w:rsid w:val="00406CCA"/>
    <w:rsid w:val="004A4BC8"/>
    <w:rsid w:val="0056345D"/>
    <w:rsid w:val="0065053E"/>
    <w:rsid w:val="00675623"/>
    <w:rsid w:val="00686110"/>
    <w:rsid w:val="006A571A"/>
    <w:rsid w:val="006D3F26"/>
    <w:rsid w:val="007206C3"/>
    <w:rsid w:val="007246EC"/>
    <w:rsid w:val="00724D1C"/>
    <w:rsid w:val="00740C5B"/>
    <w:rsid w:val="00752D78"/>
    <w:rsid w:val="008435C8"/>
    <w:rsid w:val="00893C7B"/>
    <w:rsid w:val="008B2349"/>
    <w:rsid w:val="009213F7"/>
    <w:rsid w:val="00940132"/>
    <w:rsid w:val="00953D0B"/>
    <w:rsid w:val="00965A66"/>
    <w:rsid w:val="00A101AE"/>
    <w:rsid w:val="00A33B2D"/>
    <w:rsid w:val="00AB58A1"/>
    <w:rsid w:val="00B45FFD"/>
    <w:rsid w:val="00B72114"/>
    <w:rsid w:val="00DA4D1D"/>
    <w:rsid w:val="00DB4309"/>
    <w:rsid w:val="00E33CBB"/>
    <w:rsid w:val="00E663A2"/>
    <w:rsid w:val="00EC1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1F8"/>
    <w:pPr>
      <w:spacing w:before="120" w:after="0" w:line="240" w:lineRule="auto"/>
      <w:ind w:firstLine="720"/>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52D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201F8"/>
    <w:pPr>
      <w:keepNext/>
      <w:ind w:firstLine="567"/>
      <w:jc w:val="left"/>
      <w:outlineLvl w:val="1"/>
    </w:pPr>
    <w:rPr>
      <w:rFonts w:ascii=".VnTime" w:hAnsi=".VnTime"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01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201F8"/>
    <w:pPr>
      <w:ind w:left="720"/>
      <w:contextualSpacing/>
    </w:pPr>
  </w:style>
  <w:style w:type="character" w:customStyle="1" w:styleId="ListParagraphChar">
    <w:name w:val="List Paragraph Char"/>
    <w:link w:val="ListParagraph"/>
    <w:rsid w:val="003201F8"/>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3201F8"/>
    <w:rPr>
      <w:rFonts w:ascii=".VnTime" w:eastAsia="Times New Roman" w:hAnsi=".VnTime" w:cs="Arial"/>
      <w:b/>
      <w:bCs/>
      <w:sz w:val="28"/>
      <w:szCs w:val="24"/>
    </w:rPr>
  </w:style>
  <w:style w:type="character" w:styleId="Hyperlink">
    <w:name w:val="Hyperlink"/>
    <w:uiPriority w:val="99"/>
    <w:rsid w:val="00B45FFD"/>
    <w:rPr>
      <w:color w:val="0000FF"/>
      <w:u w:val="single"/>
    </w:rPr>
  </w:style>
  <w:style w:type="paragraph" w:styleId="BodyText">
    <w:name w:val="Body Text"/>
    <w:basedOn w:val="Normal"/>
    <w:link w:val="BodyTextChar"/>
    <w:unhideWhenUsed/>
    <w:rsid w:val="00B45FFD"/>
    <w:pPr>
      <w:spacing w:after="120"/>
    </w:pPr>
  </w:style>
  <w:style w:type="character" w:customStyle="1" w:styleId="BodyTextChar">
    <w:name w:val="Body Text Char"/>
    <w:basedOn w:val="DefaultParagraphFont"/>
    <w:link w:val="BodyText"/>
    <w:rsid w:val="00B45FFD"/>
    <w:rPr>
      <w:rFonts w:ascii="Times New Roman" w:eastAsia="Times New Roman" w:hAnsi="Times New Roman" w:cs="Times New Roman"/>
      <w:sz w:val="24"/>
      <w:szCs w:val="24"/>
    </w:rPr>
  </w:style>
  <w:style w:type="paragraph" w:styleId="NormalWeb">
    <w:name w:val="Normal (Web)"/>
    <w:basedOn w:val="Normal"/>
    <w:rsid w:val="00B45FFD"/>
    <w:pPr>
      <w:spacing w:before="100" w:beforeAutospacing="1" w:after="100" w:afterAutospacing="1"/>
      <w:ind w:firstLine="0"/>
      <w:jc w:val="left"/>
    </w:pPr>
  </w:style>
  <w:style w:type="character" w:styleId="Strong">
    <w:name w:val="Strong"/>
    <w:uiPriority w:val="22"/>
    <w:qFormat/>
    <w:rsid w:val="00B45FFD"/>
    <w:rPr>
      <w:b/>
      <w:bCs/>
    </w:rPr>
  </w:style>
  <w:style w:type="paragraph" w:customStyle="1" w:styleId="style2">
    <w:name w:val="style2"/>
    <w:basedOn w:val="Normal"/>
    <w:rsid w:val="00B45FFD"/>
    <w:pPr>
      <w:spacing w:before="100" w:beforeAutospacing="1" w:after="100" w:afterAutospacing="1"/>
      <w:ind w:firstLine="0"/>
      <w:jc w:val="left"/>
    </w:pPr>
  </w:style>
  <w:style w:type="character" w:styleId="Emphasis">
    <w:name w:val="Emphasis"/>
    <w:basedOn w:val="DefaultParagraphFont"/>
    <w:uiPriority w:val="20"/>
    <w:qFormat/>
    <w:rsid w:val="00B45FFD"/>
    <w:rPr>
      <w:i/>
      <w:iCs/>
    </w:rPr>
  </w:style>
  <w:style w:type="paragraph" w:styleId="BalloonText">
    <w:name w:val="Balloon Text"/>
    <w:basedOn w:val="Normal"/>
    <w:link w:val="BalloonTextChar"/>
    <w:uiPriority w:val="99"/>
    <w:semiHidden/>
    <w:unhideWhenUsed/>
    <w:rsid w:val="00147B9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B99"/>
    <w:rPr>
      <w:rFonts w:ascii="Tahoma" w:eastAsia="Times New Roman" w:hAnsi="Tahoma" w:cs="Tahoma"/>
      <w:sz w:val="16"/>
      <w:szCs w:val="16"/>
    </w:rPr>
  </w:style>
  <w:style w:type="paragraph" w:customStyle="1" w:styleId="n-dieund">
    <w:name w:val="n-dieund"/>
    <w:basedOn w:val="Normal"/>
    <w:rsid w:val="00752D78"/>
    <w:pPr>
      <w:spacing w:before="0" w:after="120"/>
      <w:ind w:firstLine="709"/>
    </w:pPr>
    <w:rPr>
      <w:rFonts w:ascii=".VnTime" w:hAnsi=".VnTime"/>
      <w:sz w:val="28"/>
      <w:szCs w:val="20"/>
      <w:lang w:eastAsia="ja-JP"/>
    </w:rPr>
  </w:style>
  <w:style w:type="character" w:customStyle="1" w:styleId="Heading1Char">
    <w:name w:val="Heading 1 Char"/>
    <w:basedOn w:val="DefaultParagraphFont"/>
    <w:link w:val="Heading1"/>
    <w:rsid w:val="00752D7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740C5B"/>
    <w:pPr>
      <w:tabs>
        <w:tab w:val="center" w:pos="4680"/>
        <w:tab w:val="right" w:pos="9360"/>
      </w:tabs>
      <w:spacing w:before="0"/>
    </w:pPr>
  </w:style>
  <w:style w:type="character" w:customStyle="1" w:styleId="HeaderChar">
    <w:name w:val="Header Char"/>
    <w:basedOn w:val="DefaultParagraphFont"/>
    <w:link w:val="Header"/>
    <w:uiPriority w:val="99"/>
    <w:rsid w:val="00740C5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40C5B"/>
    <w:pPr>
      <w:tabs>
        <w:tab w:val="center" w:pos="4680"/>
        <w:tab w:val="right" w:pos="9360"/>
      </w:tabs>
      <w:spacing w:before="0"/>
    </w:pPr>
  </w:style>
  <w:style w:type="character" w:customStyle="1" w:styleId="FooterChar">
    <w:name w:val="Footer Char"/>
    <w:basedOn w:val="DefaultParagraphFont"/>
    <w:link w:val="Footer"/>
    <w:uiPriority w:val="99"/>
    <w:rsid w:val="00740C5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1F8"/>
    <w:pPr>
      <w:spacing w:before="120" w:after="0" w:line="240" w:lineRule="auto"/>
      <w:ind w:firstLine="720"/>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52D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201F8"/>
    <w:pPr>
      <w:keepNext/>
      <w:ind w:firstLine="567"/>
      <w:jc w:val="left"/>
      <w:outlineLvl w:val="1"/>
    </w:pPr>
    <w:rPr>
      <w:rFonts w:ascii=".VnTime" w:hAnsi=".VnTime"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01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201F8"/>
    <w:pPr>
      <w:ind w:left="720"/>
      <w:contextualSpacing/>
    </w:pPr>
  </w:style>
  <w:style w:type="character" w:customStyle="1" w:styleId="ListParagraphChar">
    <w:name w:val="List Paragraph Char"/>
    <w:link w:val="ListParagraph"/>
    <w:rsid w:val="003201F8"/>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3201F8"/>
    <w:rPr>
      <w:rFonts w:ascii=".VnTime" w:eastAsia="Times New Roman" w:hAnsi=".VnTime" w:cs="Arial"/>
      <w:b/>
      <w:bCs/>
      <w:sz w:val="28"/>
      <w:szCs w:val="24"/>
    </w:rPr>
  </w:style>
  <w:style w:type="character" w:styleId="Hyperlink">
    <w:name w:val="Hyperlink"/>
    <w:uiPriority w:val="99"/>
    <w:rsid w:val="00B45FFD"/>
    <w:rPr>
      <w:color w:val="0000FF"/>
      <w:u w:val="single"/>
    </w:rPr>
  </w:style>
  <w:style w:type="paragraph" w:styleId="BodyText">
    <w:name w:val="Body Text"/>
    <w:basedOn w:val="Normal"/>
    <w:link w:val="BodyTextChar"/>
    <w:unhideWhenUsed/>
    <w:rsid w:val="00B45FFD"/>
    <w:pPr>
      <w:spacing w:after="120"/>
    </w:pPr>
  </w:style>
  <w:style w:type="character" w:customStyle="1" w:styleId="BodyTextChar">
    <w:name w:val="Body Text Char"/>
    <w:basedOn w:val="DefaultParagraphFont"/>
    <w:link w:val="BodyText"/>
    <w:rsid w:val="00B45FFD"/>
    <w:rPr>
      <w:rFonts w:ascii="Times New Roman" w:eastAsia="Times New Roman" w:hAnsi="Times New Roman" w:cs="Times New Roman"/>
      <w:sz w:val="24"/>
      <w:szCs w:val="24"/>
    </w:rPr>
  </w:style>
  <w:style w:type="paragraph" w:styleId="NormalWeb">
    <w:name w:val="Normal (Web)"/>
    <w:basedOn w:val="Normal"/>
    <w:rsid w:val="00B45FFD"/>
    <w:pPr>
      <w:spacing w:before="100" w:beforeAutospacing="1" w:after="100" w:afterAutospacing="1"/>
      <w:ind w:firstLine="0"/>
      <w:jc w:val="left"/>
    </w:pPr>
  </w:style>
  <w:style w:type="character" w:styleId="Strong">
    <w:name w:val="Strong"/>
    <w:uiPriority w:val="22"/>
    <w:qFormat/>
    <w:rsid w:val="00B45FFD"/>
    <w:rPr>
      <w:b/>
      <w:bCs/>
    </w:rPr>
  </w:style>
  <w:style w:type="paragraph" w:customStyle="1" w:styleId="style2">
    <w:name w:val="style2"/>
    <w:basedOn w:val="Normal"/>
    <w:rsid w:val="00B45FFD"/>
    <w:pPr>
      <w:spacing w:before="100" w:beforeAutospacing="1" w:after="100" w:afterAutospacing="1"/>
      <w:ind w:firstLine="0"/>
      <w:jc w:val="left"/>
    </w:pPr>
  </w:style>
  <w:style w:type="character" w:styleId="Emphasis">
    <w:name w:val="Emphasis"/>
    <w:basedOn w:val="DefaultParagraphFont"/>
    <w:uiPriority w:val="20"/>
    <w:qFormat/>
    <w:rsid w:val="00B45FFD"/>
    <w:rPr>
      <w:i/>
      <w:iCs/>
    </w:rPr>
  </w:style>
  <w:style w:type="paragraph" w:styleId="BalloonText">
    <w:name w:val="Balloon Text"/>
    <w:basedOn w:val="Normal"/>
    <w:link w:val="BalloonTextChar"/>
    <w:uiPriority w:val="99"/>
    <w:semiHidden/>
    <w:unhideWhenUsed/>
    <w:rsid w:val="00147B9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B99"/>
    <w:rPr>
      <w:rFonts w:ascii="Tahoma" w:eastAsia="Times New Roman" w:hAnsi="Tahoma" w:cs="Tahoma"/>
      <w:sz w:val="16"/>
      <w:szCs w:val="16"/>
    </w:rPr>
  </w:style>
  <w:style w:type="paragraph" w:customStyle="1" w:styleId="n-dieund">
    <w:name w:val="n-dieund"/>
    <w:basedOn w:val="Normal"/>
    <w:rsid w:val="00752D78"/>
    <w:pPr>
      <w:spacing w:before="0" w:after="120"/>
      <w:ind w:firstLine="709"/>
    </w:pPr>
    <w:rPr>
      <w:rFonts w:ascii=".VnTime" w:hAnsi=".VnTime"/>
      <w:sz w:val="28"/>
      <w:szCs w:val="20"/>
      <w:lang w:eastAsia="ja-JP"/>
    </w:rPr>
  </w:style>
  <w:style w:type="character" w:customStyle="1" w:styleId="Heading1Char">
    <w:name w:val="Heading 1 Char"/>
    <w:basedOn w:val="DefaultParagraphFont"/>
    <w:link w:val="Heading1"/>
    <w:rsid w:val="00752D7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740C5B"/>
    <w:pPr>
      <w:tabs>
        <w:tab w:val="center" w:pos="4680"/>
        <w:tab w:val="right" w:pos="9360"/>
      </w:tabs>
      <w:spacing w:before="0"/>
    </w:pPr>
  </w:style>
  <w:style w:type="character" w:customStyle="1" w:styleId="HeaderChar">
    <w:name w:val="Header Char"/>
    <w:basedOn w:val="DefaultParagraphFont"/>
    <w:link w:val="Header"/>
    <w:uiPriority w:val="99"/>
    <w:rsid w:val="00740C5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40C5B"/>
    <w:pPr>
      <w:tabs>
        <w:tab w:val="center" w:pos="4680"/>
        <w:tab w:val="right" w:pos="9360"/>
      </w:tabs>
      <w:spacing w:before="0"/>
    </w:pPr>
  </w:style>
  <w:style w:type="character" w:customStyle="1" w:styleId="FooterChar">
    <w:name w:val="Footer Char"/>
    <w:basedOn w:val="DefaultParagraphFont"/>
    <w:link w:val="Footer"/>
    <w:uiPriority w:val="99"/>
    <w:rsid w:val="00740C5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2</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Administrator</cp:lastModifiedBy>
  <cp:revision>17</cp:revision>
  <cp:lastPrinted>2019-09-24T04:07:00Z</cp:lastPrinted>
  <dcterms:created xsi:type="dcterms:W3CDTF">2019-06-01T04:44:00Z</dcterms:created>
  <dcterms:modified xsi:type="dcterms:W3CDTF">2019-10-23T07:12:00Z</dcterms:modified>
</cp:coreProperties>
</file>