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C3" w:rsidRPr="000554EA" w:rsidRDefault="007824C3" w:rsidP="007824C3">
      <w:pPr>
        <w:spacing w:before="120" w:after="0" w:line="240" w:lineRule="auto"/>
        <w:ind w:firstLine="720"/>
        <w:jc w:val="both"/>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
          <w:bCs/>
          <w:color w:val="000000" w:themeColor="text1"/>
          <w:sz w:val="26"/>
          <w:szCs w:val="26"/>
        </w:rPr>
        <w:t>4. Thủ tục thay đổi giấy phép thành lập và công nhận điều lệ (sửa đổi, bổ sung) quỹ</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4.1.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7824C3"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7824C3" w:rsidRPr="000554EA" w:rsidRDefault="007824C3"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7824C3"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7824C3" w:rsidRPr="000554EA" w:rsidRDefault="007824C3"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7824C3" w:rsidRPr="000554EA" w:rsidRDefault="007824C3"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7824C3" w:rsidRPr="000554EA" w:rsidRDefault="007824C3"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7824C3" w:rsidRPr="000554EA" w:rsidRDefault="007824C3" w:rsidP="00806C7A">
            <w:pPr>
              <w:jc w:val="center"/>
              <w:rPr>
                <w:rFonts w:eastAsia="Times New Roman"/>
                <w:i/>
                <w:color w:val="000000" w:themeColor="text1"/>
                <w:sz w:val="26"/>
                <w:szCs w:val="26"/>
                <w:lang w:val="vi-VN"/>
              </w:rPr>
            </w:pPr>
          </w:p>
        </w:tc>
      </w:tr>
      <w:tr w:rsidR="007824C3"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824C3" w:rsidRPr="000554EA" w:rsidRDefault="007824C3"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824C3" w:rsidRPr="000554EA" w:rsidRDefault="007824C3"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7824C3" w:rsidRPr="000554EA" w:rsidRDefault="007824C3"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7824C3" w:rsidRPr="000554EA" w:rsidRDefault="007824C3" w:rsidP="00806C7A">
            <w:pPr>
              <w:jc w:val="center"/>
              <w:rPr>
                <w:rFonts w:eastAsia="Times New Roman"/>
                <w:i/>
                <w:color w:val="000000" w:themeColor="text1"/>
                <w:sz w:val="26"/>
                <w:szCs w:val="26"/>
                <w:lang w:val="vi-VN"/>
              </w:rPr>
            </w:pPr>
          </w:p>
        </w:tc>
      </w:tr>
      <w:tr w:rsidR="007824C3"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7824C3" w:rsidRPr="000554EA" w:rsidRDefault="007824C3" w:rsidP="00806C7A">
            <w:pPr>
              <w:spacing w:after="120" w:line="234" w:lineRule="atLeast"/>
              <w:jc w:val="center"/>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2,5 ngày làm việc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22 ngày làm việc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100" w:after="80"/>
              <w:jc w:val="center"/>
              <w:rPr>
                <w:color w:val="000000" w:themeColor="text1"/>
                <w:spacing w:val="-4"/>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b/>
                <w:color w:val="000000" w:themeColor="text1"/>
                <w:sz w:val="26"/>
                <w:szCs w:val="26"/>
              </w:rPr>
            </w:pPr>
          </w:p>
        </w:tc>
      </w:tr>
      <w:tr w:rsidR="007824C3"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7824C3" w:rsidRPr="000554EA" w:rsidRDefault="007824C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7824C3" w:rsidRPr="000554EA" w:rsidRDefault="007824C3" w:rsidP="00806C7A">
            <w:pPr>
              <w:spacing w:after="120" w:line="234" w:lineRule="atLeast"/>
              <w:rPr>
                <w:rFonts w:eastAsia="Times New Roman"/>
                <w:b/>
                <w:i/>
                <w:color w:val="000000" w:themeColor="text1"/>
                <w:sz w:val="26"/>
                <w:szCs w:val="26"/>
              </w:rPr>
            </w:pPr>
          </w:p>
        </w:tc>
      </w:tr>
      <w:tr w:rsidR="007824C3"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7824C3" w:rsidRPr="000554EA" w:rsidRDefault="007824C3"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7824C3" w:rsidRPr="000554EA" w:rsidRDefault="007824C3" w:rsidP="00806C7A">
            <w:pPr>
              <w:spacing w:after="120" w:line="234" w:lineRule="atLeast"/>
              <w:jc w:val="cente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7824C3" w:rsidRPr="000554EA" w:rsidRDefault="007824C3"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7824C3" w:rsidRPr="000554EA" w:rsidRDefault="007824C3"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824C3" w:rsidRPr="000554EA" w:rsidRDefault="007824C3"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824C3" w:rsidRPr="000554EA" w:rsidRDefault="007824C3"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7824C3" w:rsidRPr="000554EA" w:rsidRDefault="007824C3"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7824C3" w:rsidRPr="000554EA" w:rsidRDefault="007824C3" w:rsidP="00806C7A">
            <w:pPr>
              <w:spacing w:after="120" w:line="234" w:lineRule="atLeast"/>
              <w:rPr>
                <w:rFonts w:eastAsia="Times New Roman"/>
                <w:color w:val="000000" w:themeColor="text1"/>
                <w:sz w:val="26"/>
                <w:szCs w:val="26"/>
                <w:lang w:val="vi-VN"/>
              </w:rPr>
            </w:pPr>
          </w:p>
        </w:tc>
      </w:tr>
    </w:tbl>
    <w:p w:rsidR="007824C3" w:rsidRPr="000554EA" w:rsidRDefault="007824C3" w:rsidP="007824C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4.2. Thành phần, số lượng hồ sơ</w:t>
      </w:r>
    </w:p>
    <w:p w:rsidR="007824C3" w:rsidRPr="000554EA" w:rsidRDefault="007824C3" w:rsidP="007824C3">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thay đổi giấy phép và công nhận điều lệ (sửa đổi, bổ sung) quỹ (theo mẫu);</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Nghị quyết của Hội đồng quản lý quỹ nêu rõ lý do về việc xin thay đổi giấy phép thành lập và công nhận điều lệ quỹ;</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Dự thảo điều lệ sửa đổi, bổ sung.</w:t>
      </w:r>
    </w:p>
    <w:p w:rsidR="007824C3" w:rsidRPr="000554EA" w:rsidRDefault="007824C3" w:rsidP="007824C3">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4.3.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7824C3" w:rsidRPr="000554EA" w:rsidRDefault="007824C3" w:rsidP="007824C3">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4.5. Kết quả thực hiện thủ tục hành chính:</w:t>
      </w:r>
      <w:r w:rsidRPr="000554EA">
        <w:rPr>
          <w:rFonts w:ascii="Times New Roman" w:eastAsia="Calibri" w:hAnsi="Times New Roman" w:cs="Times New Roman"/>
          <w:color w:val="000000" w:themeColor="text1"/>
          <w:sz w:val="26"/>
          <w:szCs w:val="26"/>
        </w:rPr>
        <w:t xml:space="preserve"> Quyết định công nhận điều lệ (sửa đổi, bổ sung) quỹ.</w:t>
      </w:r>
    </w:p>
    <w:p w:rsidR="007824C3" w:rsidRPr="000554EA" w:rsidRDefault="007824C3" w:rsidP="007824C3">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4</w:t>
      </w:r>
      <w:r w:rsidRPr="000554EA">
        <w:rPr>
          <w:rFonts w:ascii="Times New Roman" w:eastAsia="Calibri" w:hAnsi="Times New Roman" w:cs="Times New Roman"/>
          <w:b/>
          <w:color w:val="000000" w:themeColor="text1"/>
          <w:sz w:val="26"/>
          <w:szCs w:val="26"/>
        </w:rPr>
        <w:t xml:space="preserve">.6. Phí, lệ phí: </w:t>
      </w:r>
      <w:r w:rsidRPr="000554EA">
        <w:rPr>
          <w:rFonts w:ascii="Times New Roman" w:eastAsia="Calibri" w:hAnsi="Times New Roman" w:cs="Times New Roman"/>
          <w:color w:val="000000" w:themeColor="text1"/>
          <w:sz w:val="26"/>
          <w:szCs w:val="26"/>
        </w:rPr>
        <w:t>Không</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Đơn đề nghị thay đổi giấy phép thành lập và công nhận điều lệ (sửa đổi, bổ sung) quỹ (theo Mẫu 5 Phụ lục 1 Thông tư số 02/2013/TT-BNV).</w:t>
      </w:r>
    </w:p>
    <w:p w:rsidR="007824C3" w:rsidRPr="000554EA" w:rsidRDefault="007824C3" w:rsidP="007824C3">
      <w:pPr>
        <w:spacing w:after="120" w:line="240" w:lineRule="auto"/>
        <w:ind w:firstLine="720"/>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4.8.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7824C3" w:rsidRPr="000554EA" w:rsidRDefault="007824C3" w:rsidP="007824C3">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7824C3" w:rsidRPr="000554EA" w:rsidRDefault="007824C3" w:rsidP="007824C3">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4.9. Căn cứ pháp lý của thủ tục hành chính: </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Khoản 1, Điều 18 Nghị định số 30/2012/NĐ-CP ngày 12 tháng 4 năm 2012 của Chính phủ về tổ chức, hoạt động của quỹ xã hội, quỹ từ thiện;</w:t>
      </w:r>
    </w:p>
    <w:p w:rsidR="007824C3" w:rsidRPr="000554EA" w:rsidRDefault="007824C3" w:rsidP="007824C3">
      <w:pPr>
        <w:shd w:val="clear" w:color="auto" w:fill="FFFFFF"/>
        <w:spacing w:after="120" w:line="234" w:lineRule="atLeast"/>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7824C3" w:rsidRPr="000554EA" w:rsidRDefault="007824C3" w:rsidP="007824C3">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4.10.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7824C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7824C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7824C3" w:rsidRPr="000554EA" w:rsidRDefault="007824C3"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824C3" w:rsidRPr="000554EA" w:rsidRDefault="007824C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7824C3" w:rsidRPr="000554EA" w:rsidRDefault="007824C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7824C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w:t>
            </w:r>
            <w:r w:rsidRPr="000554EA">
              <w:rPr>
                <w:rFonts w:ascii="Times New Roman" w:eastAsia="Times New Roman" w:hAnsi="Times New Roman" w:cs="Times New Roman"/>
                <w:color w:val="000000" w:themeColor="text1"/>
                <w:sz w:val="26"/>
                <w:szCs w:val="26"/>
              </w:rPr>
              <w:lastRenderedPageBreak/>
              <w:t xml:space="preserve">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7824C3" w:rsidRPr="000554EA" w:rsidRDefault="007824C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4C3" w:rsidRPr="000554EA" w:rsidRDefault="007824C3" w:rsidP="00806C7A">
            <w:pPr>
              <w:spacing w:after="0" w:line="240" w:lineRule="auto"/>
              <w:rPr>
                <w:rFonts w:ascii="Times New Roman" w:eastAsia="Times New Roman" w:hAnsi="Times New Roman" w:cs="Times New Roman"/>
                <w:color w:val="000000" w:themeColor="text1"/>
                <w:sz w:val="26"/>
                <w:szCs w:val="26"/>
                <w:lang w:val="nl-NL"/>
              </w:rPr>
            </w:pPr>
          </w:p>
        </w:tc>
      </w:tr>
    </w:tbl>
    <w:p w:rsidR="007824C3" w:rsidRPr="000554EA" w:rsidRDefault="007824C3" w:rsidP="007824C3">
      <w:pPr>
        <w:spacing w:after="0" w:line="240" w:lineRule="auto"/>
        <w:rPr>
          <w:rFonts w:ascii="Times New Roman" w:eastAsia="Times New Roman" w:hAnsi="Times New Roman" w:cs="Times New Roman"/>
          <w:b/>
          <w:color w:val="000000" w:themeColor="text1"/>
          <w:sz w:val="26"/>
          <w:szCs w:val="26"/>
        </w:rPr>
        <w:sectPr w:rsidR="007824C3" w:rsidRPr="000554EA">
          <w:pgSz w:w="16840" w:h="11907" w:orient="landscape"/>
          <w:pgMar w:top="1418" w:right="1418" w:bottom="1021" w:left="1247" w:header="567" w:footer="567" w:gutter="0"/>
          <w:cols w:space="720"/>
        </w:sectPr>
      </w:pPr>
    </w:p>
    <w:p w:rsidR="007824C3" w:rsidRPr="00746E34" w:rsidRDefault="007824C3" w:rsidP="007824C3">
      <w:pPr>
        <w:spacing w:after="0" w:line="234" w:lineRule="atLeast"/>
        <w:jc w:val="right"/>
        <w:rPr>
          <w:rFonts w:ascii="Times New Roman" w:eastAsia="Times New Roman" w:hAnsi="Times New Roman" w:cs="Times New Roman"/>
          <w:bCs/>
          <w:i/>
          <w:color w:val="000000" w:themeColor="text1"/>
          <w:spacing w:val="-4"/>
          <w:sz w:val="26"/>
          <w:szCs w:val="26"/>
        </w:rPr>
      </w:pPr>
      <w:r w:rsidRPr="00746E34">
        <w:rPr>
          <w:rFonts w:ascii="Times New Roman" w:eastAsia="Times New Roman" w:hAnsi="Times New Roman" w:cs="Times New Roman"/>
          <w:bCs/>
          <w:i/>
          <w:color w:val="000000" w:themeColor="text1"/>
          <w:spacing w:val="-4"/>
          <w:sz w:val="26"/>
          <w:szCs w:val="26"/>
          <w:lang w:val="vi-VN"/>
        </w:rPr>
        <w:lastRenderedPageBreak/>
        <w:t>Mẫu Đơn đề nghị thay đổi giấy phép thành lập và công nhận điều lệ (sửa đổi, bổ sung) quỹ</w:t>
      </w:r>
    </w:p>
    <w:p w:rsidR="007824C3" w:rsidRPr="000554EA" w:rsidRDefault="007824C3" w:rsidP="007824C3">
      <w:pPr>
        <w:spacing w:after="0" w:line="234" w:lineRule="atLeast"/>
        <w:rPr>
          <w:rFonts w:ascii="Times New Roman" w:eastAsia="Times New Roman" w:hAnsi="Times New Roman" w:cs="Times New Roman"/>
          <w:i/>
          <w:color w:val="000000" w:themeColor="text1"/>
          <w:sz w:val="26"/>
          <w:szCs w:val="26"/>
        </w:rPr>
      </w:pPr>
    </w:p>
    <w:p w:rsidR="007824C3" w:rsidRPr="000554EA" w:rsidRDefault="007824C3" w:rsidP="007824C3">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7824C3" w:rsidRPr="000554EA" w:rsidRDefault="007824C3" w:rsidP="007824C3">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7824C3" w:rsidRPr="000554EA" w:rsidRDefault="007824C3" w:rsidP="007824C3">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7824C3" w:rsidRPr="000554EA" w:rsidRDefault="007824C3" w:rsidP="007824C3">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Thay đổi Giấy phép thành lập và công nhận Điều lệ (sửa đổi, bổ sung) </w:t>
      </w:r>
      <w:r w:rsidRPr="000554EA">
        <w:rPr>
          <w:rFonts w:ascii="Times New Roman" w:eastAsia="Times New Roman" w:hAnsi="Times New Roman" w:cs="Times New Roman"/>
          <w:b/>
          <w:bCs/>
          <w:color w:val="000000" w:themeColor="text1"/>
          <w:sz w:val="26"/>
          <w:szCs w:val="26"/>
          <w:lang w:val="vi-VN"/>
        </w:rPr>
        <w:br/>
        <w:t>Quỹ...</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w:t>
      </w:r>
    </w:p>
    <w:p w:rsidR="007824C3" w:rsidRPr="000554EA" w:rsidRDefault="007824C3" w:rsidP="007824C3">
      <w:pPr>
        <w:spacing w:after="0" w:line="234" w:lineRule="atLeast"/>
        <w:jc w:val="center"/>
        <w:rPr>
          <w:rFonts w:ascii="Times New Roman" w:eastAsia="Times New Roman" w:hAnsi="Times New Roman" w:cs="Times New Roman"/>
          <w:color w:val="000000" w:themeColor="text1"/>
          <w:sz w:val="26"/>
          <w:szCs w:val="26"/>
        </w:rPr>
      </w:pPr>
    </w:p>
    <w:p w:rsidR="007824C3" w:rsidRPr="000554EA" w:rsidRDefault="007824C3" w:rsidP="007824C3">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7824C3" w:rsidRPr="000554EA" w:rsidRDefault="007824C3" w:rsidP="007824C3">
      <w:pPr>
        <w:spacing w:after="0" w:line="234" w:lineRule="atLeast"/>
        <w:jc w:val="center"/>
        <w:rPr>
          <w:rFonts w:ascii="Times New Roman" w:eastAsia="Times New Roman" w:hAnsi="Times New Roman" w:cs="Times New Roman"/>
          <w:color w:val="000000" w:themeColor="text1"/>
          <w:sz w:val="26"/>
          <w:szCs w:val="26"/>
        </w:rPr>
      </w:pP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6"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đề nghị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xem xét, quyết định việc thay đổi Giấy phép thành lập và công nhận Điều lệ (sửa đổi, bổ sung) của Quỹ như sau:</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1. Một số thông tin cơ bản về Quỹ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 Lý do đề nghị thay đổi </w:t>
      </w:r>
      <w:r w:rsidRPr="000554EA">
        <w:rPr>
          <w:rFonts w:ascii="Times New Roman" w:eastAsia="Times New Roman" w:hAnsi="Times New Roman" w:cs="Times New Roman"/>
          <w:bCs/>
          <w:color w:val="000000" w:themeColor="text1"/>
          <w:sz w:val="26"/>
          <w:szCs w:val="26"/>
        </w:rPr>
        <w:t>.................................................................................</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 Những nội dung thay đổi </w:t>
      </w:r>
      <w:r w:rsidRPr="000554EA">
        <w:rPr>
          <w:rFonts w:ascii="Times New Roman" w:eastAsia="Times New Roman" w:hAnsi="Times New Roman" w:cs="Times New Roman"/>
          <w:bCs/>
          <w:color w:val="000000" w:themeColor="text1"/>
          <w:sz w:val="26"/>
          <w:szCs w:val="26"/>
        </w:rPr>
        <w:t>.............................................................................</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 Hồ sơ gửi kèm theo đơn này, gồm:</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r w:rsidRPr="000554EA">
        <w:rPr>
          <w:rFonts w:ascii="Times New Roman" w:eastAsia="Times New Roman" w:hAnsi="Times New Roman" w:cs="Times New Roman"/>
          <w:color w:val="000000" w:themeColor="text1"/>
          <w:sz w:val="26"/>
          <w:szCs w:val="26"/>
          <w:vertAlign w:val="superscript"/>
        </w:rPr>
        <w:t>(3)</w:t>
      </w:r>
      <w:r w:rsidRPr="000554EA">
        <w:rPr>
          <w:rFonts w:ascii="Times New Roman" w:eastAsia="Times New Roman" w:hAnsi="Times New Roman" w:cs="Times New Roman"/>
          <w:color w:val="000000" w:themeColor="text1"/>
          <w:sz w:val="26"/>
          <w:szCs w:val="26"/>
        </w:rPr>
        <w:t> ……………………….....</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5. Các tài liệu có liên quan (nếu có)</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Thông tin khi cần liên hệ:</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chỉ liên lạc: ..................................................................................................</w:t>
      </w:r>
    </w:p>
    <w:p w:rsidR="007824C3" w:rsidRPr="000554EA" w:rsidRDefault="007824C3" w:rsidP="007824C3">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w:t>
      </w:r>
    </w:p>
    <w:p w:rsidR="007824C3" w:rsidRPr="000554EA" w:rsidRDefault="007824C3" w:rsidP="007824C3">
      <w:pPr>
        <w:spacing w:before="120"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678"/>
        <w:gridCol w:w="4820"/>
      </w:tblGrid>
      <w:tr w:rsidR="007824C3" w:rsidRPr="000554EA" w:rsidTr="00806C7A">
        <w:trPr>
          <w:tblCellSpacing w:w="0" w:type="dxa"/>
        </w:trPr>
        <w:tc>
          <w:tcPr>
            <w:tcW w:w="4678" w:type="dxa"/>
            <w:shd w:val="clear" w:color="auto" w:fill="FFFFFF"/>
            <w:tcMar>
              <w:top w:w="0" w:type="dxa"/>
              <w:left w:w="108" w:type="dxa"/>
              <w:bottom w:w="0" w:type="dxa"/>
              <w:right w:w="108" w:type="dxa"/>
            </w:tcMar>
            <w:hideMark/>
          </w:tcPr>
          <w:p w:rsidR="007824C3" w:rsidRPr="000554EA" w:rsidRDefault="007824C3"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7824C3" w:rsidRPr="000554EA" w:rsidRDefault="007824C3"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lastRenderedPageBreak/>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4820" w:type="dxa"/>
            <w:shd w:val="clear" w:color="auto" w:fill="FFFFFF"/>
            <w:tcMar>
              <w:top w:w="0" w:type="dxa"/>
              <w:left w:w="108" w:type="dxa"/>
              <w:bottom w:w="0" w:type="dxa"/>
              <w:right w:w="108" w:type="dxa"/>
            </w:tcMar>
            <w:hideMark/>
          </w:tcPr>
          <w:p w:rsidR="007824C3" w:rsidRPr="000554EA" w:rsidRDefault="007824C3"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lastRenderedPageBreak/>
              <w:t>…</w:t>
            </w:r>
            <w:r w:rsidRPr="000554EA">
              <w:rPr>
                <w:rFonts w:ascii="Times New Roman" w:eastAsia="Times New Roman" w:hAnsi="Times New Roman" w:cs="Times New Roman"/>
                <w:i/>
                <w:iCs/>
                <w:color w:val="000000" w:themeColor="text1"/>
                <w:sz w:val="26"/>
                <w:szCs w:val="26"/>
                <w:vertAlign w:val="superscript"/>
              </w:rPr>
              <w:t>(4)</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lastRenderedPageBreak/>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7824C3" w:rsidRPr="000554EA" w:rsidRDefault="007824C3" w:rsidP="007824C3">
      <w:pPr>
        <w:spacing w:after="0" w:line="240" w:lineRule="auto"/>
        <w:rPr>
          <w:rFonts w:ascii="Times New Roman" w:eastAsia="Times New Roman" w:hAnsi="Times New Roman" w:cs="Times New Roman"/>
          <w:b/>
          <w:bCs/>
          <w:i/>
          <w:iCs/>
          <w:color w:val="000000" w:themeColor="text1"/>
          <w:sz w:val="26"/>
          <w:szCs w:val="26"/>
        </w:rPr>
      </w:pPr>
    </w:p>
    <w:p w:rsidR="007824C3" w:rsidRPr="000554EA" w:rsidRDefault="007824C3" w:rsidP="007824C3">
      <w:pPr>
        <w:spacing w:after="0" w:line="240" w:lineRule="auto"/>
        <w:rPr>
          <w:rFonts w:ascii="Times New Roman" w:eastAsia="Times New Roman" w:hAnsi="Times New Roman" w:cs="Times New Roman"/>
          <w:b/>
          <w:bCs/>
          <w:i/>
          <w:iCs/>
          <w:color w:val="000000" w:themeColor="text1"/>
          <w:sz w:val="26"/>
          <w:szCs w:val="26"/>
        </w:rPr>
      </w:pPr>
    </w:p>
    <w:p w:rsidR="007824C3" w:rsidRPr="000554EA" w:rsidRDefault="007824C3" w:rsidP="007824C3">
      <w:pPr>
        <w:spacing w:after="0" w:line="240" w:lineRule="auto"/>
        <w:rPr>
          <w:rFonts w:ascii="Times New Roman" w:eastAsia="Times New Roman" w:hAnsi="Times New Roman" w:cs="Times New Roman"/>
          <w:b/>
          <w:bCs/>
          <w:i/>
          <w:iCs/>
          <w:color w:val="000000" w:themeColor="text1"/>
          <w:sz w:val="26"/>
          <w:szCs w:val="26"/>
        </w:rPr>
      </w:pPr>
    </w:p>
    <w:p w:rsidR="007824C3" w:rsidRPr="000554EA" w:rsidRDefault="007824C3" w:rsidP="007824C3">
      <w:pPr>
        <w:spacing w:after="0" w:line="240" w:lineRule="auto"/>
        <w:rPr>
          <w:rFonts w:ascii="Times New Roman" w:eastAsia="Times New Roman" w:hAnsi="Times New Roman" w:cs="Times New Roman"/>
          <w:b/>
          <w:bCs/>
          <w:i/>
          <w:iCs/>
          <w:color w:val="000000" w:themeColor="text1"/>
          <w:sz w:val="26"/>
          <w:szCs w:val="26"/>
        </w:rPr>
      </w:pPr>
    </w:p>
    <w:p w:rsidR="007824C3" w:rsidRPr="000554EA" w:rsidRDefault="007824C3" w:rsidP="007824C3">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7824C3" w:rsidRPr="000554EA" w:rsidRDefault="007824C3" w:rsidP="007824C3">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theo quyết định cấp giấy phép thành lập và công nhận điều lệ quỹ;</w:t>
      </w:r>
    </w:p>
    <w:p w:rsidR="007824C3" w:rsidRPr="000554EA" w:rsidRDefault="007824C3" w:rsidP="007824C3">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7824C3" w:rsidRPr="000554EA" w:rsidRDefault="007824C3" w:rsidP="007824C3">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Đảm bảo đầy đủ theo quy định tại Điều 18 Nghị định số 30/2012/NĐ-CP;</w:t>
      </w:r>
    </w:p>
    <w:p w:rsidR="007824C3" w:rsidRPr="000554EA" w:rsidRDefault="007824C3" w:rsidP="007824C3">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Địa danh</w:t>
      </w:r>
    </w:p>
    <w:p w:rsidR="00A451C5" w:rsidRPr="007824C3" w:rsidRDefault="00A451C5" w:rsidP="007824C3">
      <w:bookmarkStart w:id="0" w:name="_GoBack"/>
      <w:bookmarkEnd w:id="0"/>
    </w:p>
    <w:sectPr w:rsidR="00A451C5" w:rsidRPr="007824C3" w:rsidSect="004B291C">
      <w:footerReference w:type="default" r:id="rId7"/>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7824C3">
          <w:rPr>
            <w:noProof/>
          </w:rPr>
          <w:t>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B291C"/>
    <w:rsid w:val="004D0D7A"/>
    <w:rsid w:val="005271F3"/>
    <w:rsid w:val="00642E78"/>
    <w:rsid w:val="006C0812"/>
    <w:rsid w:val="006C2E5E"/>
    <w:rsid w:val="007824C3"/>
    <w:rsid w:val="00853619"/>
    <w:rsid w:val="00860D43"/>
    <w:rsid w:val="00926A1D"/>
    <w:rsid w:val="00991ED2"/>
    <w:rsid w:val="00A451C5"/>
    <w:rsid w:val="00A56F7B"/>
    <w:rsid w:val="00AA0104"/>
    <w:rsid w:val="00B10D74"/>
    <w:rsid w:val="00CA703D"/>
    <w:rsid w:val="00CB119C"/>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2020-01-15T03:28:00Z</dcterms:created>
  <dcterms:modified xsi:type="dcterms:W3CDTF">2020-01-15T03:28:00Z</dcterms:modified>
</cp:coreProperties>
</file>