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495610">
        <w:rPr>
          <w:b/>
          <w:sz w:val="32"/>
          <w:szCs w:val="32"/>
        </w:rPr>
        <w:t>13</w:t>
      </w:r>
      <w:r w:rsidR="00E818AD">
        <w:rPr>
          <w:b/>
          <w:sz w:val="32"/>
          <w:szCs w:val="32"/>
        </w:rPr>
        <w:t>)</w:t>
      </w:r>
    </w:p>
    <w:p w:rsidR="00EA55FE" w:rsidRDefault="00EA55FE" w:rsidP="00914FCE"/>
    <w:p w:rsidR="004264C4" w:rsidRPr="00D5166F" w:rsidRDefault="004264C4" w:rsidP="004264C4">
      <w:pPr>
        <w:pStyle w:val="Heading2"/>
      </w:pPr>
      <w:bookmarkStart w:id="4" w:name="_Toc441580485"/>
      <w:bookmarkStart w:id="5" w:name="_Toc63100106"/>
      <w:bookmarkStart w:id="6" w:name="_Toc64898101"/>
      <w:bookmarkEnd w:id="0"/>
      <w:bookmarkEnd w:id="1"/>
      <w:bookmarkEnd w:id="2"/>
      <w:r>
        <w:t>Thế nào là người mất năng lực hành vi dân sự? N</w:t>
      </w:r>
      <w:r w:rsidRPr="00D5166F">
        <w:t xml:space="preserve">gười </w:t>
      </w:r>
      <w:r>
        <w:t xml:space="preserve">có dấu hiệu bị bệnh </w:t>
      </w:r>
      <w:r w:rsidRPr="00D5166F">
        <w:t>tâm thần nhưng không có điều kiện tổ chức khám và xác nhận của cơ quan y tế thì có được ghi tên vào danh sách cử tri hay không?</w:t>
      </w:r>
      <w:bookmarkEnd w:id="4"/>
      <w:bookmarkEnd w:id="5"/>
      <w:bookmarkEnd w:id="6"/>
    </w:p>
    <w:p w:rsidR="004264C4" w:rsidRPr="00D5166F" w:rsidRDefault="004264C4" w:rsidP="004264C4">
      <w:pPr>
        <w:widowControl w:val="0"/>
        <w:spacing w:before="120" w:after="120" w:line="340" w:lineRule="exact"/>
        <w:ind w:firstLine="720"/>
        <w:jc w:val="both"/>
        <w:rPr>
          <w:sz w:val="28"/>
          <w:szCs w:val="28"/>
          <w:lang w:val="de-DE"/>
        </w:rPr>
      </w:pPr>
      <w:r>
        <w:rPr>
          <w:sz w:val="28"/>
          <w:szCs w:val="28"/>
          <w:lang w:val="de-DE"/>
        </w:rPr>
        <w:t xml:space="preserve">Khi một người do bị bệnh tâm thần hoặc mắc bệnh khác mà không thể nhận thức, làm chủ được hành vi thì theo yêu cầu của người có quyền, lợi ích liên quan hoặc của cơ quan, tổ chức hữu quan, Tòa án ra quyết định tuyên bố người này là người mất năng lực hành vi dân sự trên cơ sở kết luận giám định pháp y tâm thần. </w:t>
      </w:r>
      <w:r w:rsidRPr="00D5166F">
        <w:rPr>
          <w:sz w:val="28"/>
          <w:szCs w:val="28"/>
          <w:lang w:val="de-DE"/>
        </w:rPr>
        <w:t>Người bị mất năng lực hành vi dân sự sẽ không được thực hiện quyền ứng cử và bầu cử.</w:t>
      </w:r>
    </w:p>
    <w:p w:rsidR="004264C4" w:rsidRPr="00D5166F" w:rsidRDefault="004264C4" w:rsidP="004264C4">
      <w:pPr>
        <w:widowControl w:val="0"/>
        <w:spacing w:before="120" w:after="120" w:line="340" w:lineRule="exact"/>
        <w:ind w:firstLine="720"/>
        <w:jc w:val="both"/>
        <w:rPr>
          <w:sz w:val="28"/>
          <w:szCs w:val="28"/>
          <w:lang w:val="de-DE"/>
        </w:rPr>
      </w:pPr>
      <w:r>
        <w:rPr>
          <w:sz w:val="28"/>
          <w:szCs w:val="28"/>
          <w:lang w:val="de-DE"/>
        </w:rPr>
        <w:t>Trên thực tế, b</w:t>
      </w:r>
      <w:r w:rsidRPr="00D5166F">
        <w:rPr>
          <w:sz w:val="28"/>
          <w:szCs w:val="28"/>
          <w:lang w:val="de-DE"/>
        </w:rPr>
        <w:t>ệnh nhân tâm thần thường không cư trú cố định ở một nơi. Mạng lưới y tế chuyên khoa</w:t>
      </w:r>
      <w:r>
        <w:rPr>
          <w:sz w:val="28"/>
          <w:szCs w:val="28"/>
          <w:lang w:val="de-DE"/>
        </w:rPr>
        <w:t xml:space="preserve"> hiện tại cũng</w:t>
      </w:r>
      <w:r w:rsidRPr="00D5166F">
        <w:rPr>
          <w:sz w:val="28"/>
          <w:szCs w:val="28"/>
          <w:lang w:val="de-DE"/>
        </w:rPr>
        <w:t xml:space="preserve"> chưa phát triển rộng khắp nên chưa khám và xác định được họ. </w:t>
      </w:r>
      <w:r>
        <w:rPr>
          <w:sz w:val="28"/>
          <w:szCs w:val="28"/>
          <w:lang w:val="de-DE"/>
        </w:rPr>
        <w:t>Do đó</w:t>
      </w:r>
      <w:r w:rsidRPr="00D5166F">
        <w:rPr>
          <w:sz w:val="28"/>
          <w:szCs w:val="28"/>
          <w:lang w:val="de-DE"/>
        </w:rPr>
        <w:t>, ở địa phương</w:t>
      </w:r>
      <w:r>
        <w:rPr>
          <w:sz w:val="28"/>
          <w:szCs w:val="28"/>
          <w:lang w:val="de-DE"/>
        </w:rPr>
        <w:t>,</w:t>
      </w:r>
      <w:r w:rsidRPr="00D5166F">
        <w:rPr>
          <w:sz w:val="28"/>
          <w:szCs w:val="28"/>
          <w:lang w:val="de-DE"/>
        </w:rPr>
        <w:t xml:space="preserve"> nếu </w:t>
      </w:r>
      <w:r>
        <w:rPr>
          <w:sz w:val="28"/>
          <w:szCs w:val="28"/>
          <w:lang w:val="de-DE"/>
        </w:rPr>
        <w:t xml:space="preserve">có trường hợp có biểu hiện bệnh lý tâm thần rõ rệt, thường xuyên không làm chủ được nhận thức và hành vi thì tuy chưa </w:t>
      </w:r>
      <w:r w:rsidRPr="00D5166F">
        <w:rPr>
          <w:sz w:val="28"/>
          <w:szCs w:val="28"/>
          <w:lang w:val="de-DE"/>
        </w:rPr>
        <w:t>có điều kiện tổ chức khám và xác nhận của cơ quan y tế</w:t>
      </w:r>
      <w:r>
        <w:rPr>
          <w:sz w:val="28"/>
          <w:szCs w:val="28"/>
          <w:lang w:val="de-DE"/>
        </w:rPr>
        <w:t xml:space="preserve"> có thẩm quyền, chưa được Tòa án tuyên bố là người mất năng lực hành vi dân sự nhưng </w:t>
      </w:r>
      <w:r w:rsidRPr="00D5166F">
        <w:rPr>
          <w:sz w:val="28"/>
          <w:szCs w:val="28"/>
          <w:lang w:val="de-DE"/>
        </w:rPr>
        <w:t>gia đình</w:t>
      </w:r>
      <w:r>
        <w:rPr>
          <w:sz w:val="28"/>
          <w:szCs w:val="28"/>
          <w:lang w:val="de-DE"/>
        </w:rPr>
        <w:t>, người giám hộ có</w:t>
      </w:r>
      <w:r w:rsidRPr="00D5166F">
        <w:rPr>
          <w:sz w:val="28"/>
          <w:szCs w:val="28"/>
          <w:lang w:val="de-DE"/>
        </w:rPr>
        <w:t xml:space="preserve"> cam kết và chính quyền địa phương xác nhận thì họ </w:t>
      </w:r>
      <w:r>
        <w:rPr>
          <w:sz w:val="28"/>
          <w:szCs w:val="28"/>
          <w:lang w:val="de-DE"/>
        </w:rPr>
        <w:t xml:space="preserve">cũng </w:t>
      </w:r>
      <w:r w:rsidRPr="00D5166F">
        <w:rPr>
          <w:sz w:val="28"/>
          <w:szCs w:val="28"/>
          <w:lang w:val="de-DE"/>
        </w:rPr>
        <w:t xml:space="preserve">bị coi là </w:t>
      </w:r>
      <w:r>
        <w:rPr>
          <w:sz w:val="28"/>
          <w:szCs w:val="28"/>
          <w:lang w:val="de-DE"/>
        </w:rPr>
        <w:t xml:space="preserve">người </w:t>
      </w:r>
      <w:r w:rsidRPr="00D5166F">
        <w:rPr>
          <w:sz w:val="28"/>
          <w:szCs w:val="28"/>
          <w:lang w:val="de-DE"/>
        </w:rPr>
        <w:t>mất năng lực hành vi dân sự và không được ghi tên vào danh sách cử tri.</w:t>
      </w:r>
    </w:p>
    <w:p w:rsidR="004264C4" w:rsidRPr="00D5166F" w:rsidRDefault="004264C4" w:rsidP="004264C4">
      <w:pPr>
        <w:pStyle w:val="Heading2"/>
      </w:pPr>
      <w:bookmarkStart w:id="7" w:name="_Toc441580486"/>
      <w:bookmarkStart w:id="8" w:name="_Toc63100107"/>
      <w:bookmarkStart w:id="9" w:name="_Toc64898102"/>
      <w:r>
        <w:t>N</w:t>
      </w:r>
      <w:r w:rsidRPr="00D5166F">
        <w:t>gười vừa câm, vừa điếc có được ghi tên vào danh sách cử tri hay không?</w:t>
      </w:r>
      <w:bookmarkEnd w:id="7"/>
      <w:bookmarkEnd w:id="8"/>
      <w:bookmarkEnd w:id="9"/>
    </w:p>
    <w:p w:rsidR="004264C4" w:rsidRPr="00D5166F" w:rsidRDefault="004264C4" w:rsidP="004264C4">
      <w:pPr>
        <w:widowControl w:val="0"/>
        <w:spacing w:before="120" w:after="120" w:line="340" w:lineRule="exact"/>
        <w:ind w:firstLine="720"/>
        <w:jc w:val="both"/>
        <w:rPr>
          <w:sz w:val="28"/>
          <w:szCs w:val="28"/>
          <w:lang w:val="de-DE"/>
        </w:rPr>
      </w:pPr>
      <w:r w:rsidRPr="00D5166F">
        <w:rPr>
          <w:sz w:val="28"/>
          <w:szCs w:val="28"/>
          <w:lang w:val="de-DE"/>
        </w:rPr>
        <w:t xml:space="preserve">Người vừa câm, vừa điếc </w:t>
      </w:r>
      <w:r>
        <w:rPr>
          <w:sz w:val="28"/>
          <w:szCs w:val="28"/>
          <w:lang w:val="de-DE"/>
        </w:rPr>
        <w:t xml:space="preserve">nếu </w:t>
      </w:r>
      <w:r w:rsidRPr="00D5166F">
        <w:rPr>
          <w:sz w:val="28"/>
          <w:szCs w:val="28"/>
          <w:lang w:val="de-DE"/>
        </w:rPr>
        <w:t xml:space="preserve">không thuộc các trường hợp không được ghi tên vào danh sách cử tri quy định </w:t>
      </w:r>
      <w:r>
        <w:rPr>
          <w:sz w:val="28"/>
          <w:szCs w:val="28"/>
          <w:lang w:val="de-DE"/>
        </w:rPr>
        <w:t>tại</w:t>
      </w:r>
      <w:r w:rsidRPr="00D5166F">
        <w:rPr>
          <w:sz w:val="28"/>
          <w:szCs w:val="28"/>
          <w:lang w:val="de-DE"/>
        </w:rPr>
        <w:t xml:space="preserve"> Điều 30 của Luật Bầu cử đại biểu Quốc hội và đại biểu Hội đồng nhân dân</w:t>
      </w:r>
      <w:r>
        <w:rPr>
          <w:sz w:val="28"/>
          <w:szCs w:val="28"/>
          <w:lang w:val="de-DE"/>
        </w:rPr>
        <w:t xml:space="preserve"> thì</w:t>
      </w:r>
      <w:r w:rsidRPr="00D5166F">
        <w:rPr>
          <w:sz w:val="28"/>
          <w:szCs w:val="28"/>
          <w:lang w:val="de-DE"/>
        </w:rPr>
        <w:t xml:space="preserve"> vẫn được ghi tên vào danh sách cử tri để tham gia bầu cử đại biểu Quốc hội và đại biểu Hội đồng nhân dân.</w:t>
      </w:r>
    </w:p>
    <w:p w:rsidR="004264C4" w:rsidRPr="00D5166F" w:rsidRDefault="004264C4" w:rsidP="004264C4">
      <w:pPr>
        <w:pStyle w:val="Heading2"/>
      </w:pPr>
      <w:bookmarkStart w:id="10" w:name="_Toc63100108"/>
      <w:bookmarkStart w:id="11" w:name="_Toc64898103"/>
      <w:r w:rsidRPr="00D5166F">
        <w:t>Việc lập danh sách cử tri được tiến hành như thế nào?</w:t>
      </w:r>
      <w:bookmarkEnd w:id="10"/>
      <w:bookmarkEnd w:id="11"/>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Danh sách cử tri do Ủy ban nhân dân cấp xã lập theo khu vực bỏ phiếu (theo Mẫu số 33/HĐBC); đối với những nơi không có đơn vị hành chính cấp xã thì Ủy ban nhân dân cấp huyện lập danh sách cử tri theo từng khu vực bỏ phiếu. Danh sách cử tri trong đơn vị vũ trang nhân dân do chỉ huy đơn vị lập theo đơn vị vũ </w:t>
      </w:r>
      <w:r w:rsidRPr="00D5166F">
        <w:rPr>
          <w:sz w:val="28"/>
          <w:szCs w:val="28"/>
          <w:lang w:eastAsia="en-GB"/>
        </w:rPr>
        <w:lastRenderedPageBreak/>
        <w:t xml:space="preserve">trang nhân dân để đưa vào danh sách cử tri của khu vực bỏ phiếu nơi đơn vị đóng quân. Việc lập danh sách cử tri phải được hoàn thành </w:t>
      </w:r>
      <w:r w:rsidRPr="00D5166F">
        <w:rPr>
          <w:b/>
          <w:bCs/>
          <w:i/>
          <w:iCs/>
          <w:sz w:val="28"/>
          <w:szCs w:val="28"/>
          <w:lang w:eastAsia="en-GB"/>
        </w:rPr>
        <w:t>chậm nhất là ngày 04 tháng 4 năm 2021</w:t>
      </w:r>
      <w:r w:rsidRPr="00D5166F">
        <w:rPr>
          <w:sz w:val="28"/>
          <w:szCs w:val="28"/>
          <w:lang w:eastAsia="en-GB"/>
        </w:rPr>
        <w:t xml:space="preserve"> (50 ngày trước ngày bầu cử).</w:t>
      </w:r>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Mọi công dân có quyền bầu cử đều được ghi tên vào danh sách cử tri và được phát Thẻ cử tri bầu cử đại biểu Quốc hội khóa XV và bầu cử đại biểu Hội đồng nhân dân các cấp nhiệm kỳ 2021-2026 (theo Mẫu số 11/HĐBC), trừ những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Mỗi công dân chỉ được ghi tên vào một danh sách cử tri ở nơi mình thường trú hoặc tạm trú. Ủy ban nhân dân cấp xã có trách nhiệm thông báo cho cử tri trên địa bàn đơn vị hành chính cấp xã về việc lập danh sách cử tri theo từng khu vực bỏ phiếu. Các cử tri đang đăng ký thường trú tại địa bàn được ghi tên vào danh sách cử tri tại nơi mình thường trú; trường hợp cử tri có nguyện vọng bỏ phiếu ở nơi khác thì cần thông báo lại để Ủy ban nhân dân cấp xã nơi mình đã đăng ký thường trú biết và không ghi tên vào danh sách cử tri ở địa phương. Trong quá trình lập danh sách cử tri, Ủy ban nhân dân cấp xã chỉ ghi vào danh sách những cử tri thuộc diện đăng ký tạm trú ở địa phương mình nếu cử tri đó thể hiện rõ nguyện vọng được tham gia bỏ phiếu tại nơi mình đang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4264C4" w:rsidRPr="00D5166F" w:rsidRDefault="004264C4" w:rsidP="004264C4">
      <w:pPr>
        <w:pStyle w:val="NormalWeb"/>
        <w:widowControl w:val="0"/>
        <w:shd w:val="clear" w:color="auto" w:fill="FFFFFF"/>
        <w:spacing w:before="120" w:beforeAutospacing="0" w:after="120" w:afterAutospacing="0" w:line="340" w:lineRule="exact"/>
        <w:ind w:firstLine="720"/>
        <w:jc w:val="both"/>
        <w:rPr>
          <w:sz w:val="28"/>
          <w:szCs w:val="28"/>
          <w:lang w:val="en-GB"/>
        </w:rPr>
      </w:pPr>
      <w:r w:rsidRPr="00D5166F">
        <w:rPr>
          <w:sz w:val="28"/>
          <w:szCs w:val="28"/>
          <w:lang w:val="en-GB"/>
        </w:rPr>
        <w:t>Sau khi danh sách cử tri đã được lập và công bố, việc thay đổi, bổ sung danh sách được thực hiện theo quy định của Luật và văn bản quy định về các mẫu văn bản sử dụng trong bầu cử của Hội đồng bầu cử quốc gia.</w:t>
      </w:r>
    </w:p>
    <w:p w:rsidR="004264C4" w:rsidRPr="00D5166F" w:rsidRDefault="004264C4" w:rsidP="004264C4">
      <w:pPr>
        <w:pStyle w:val="Heading2"/>
      </w:pPr>
      <w:bookmarkStart w:id="12" w:name="_Toc63100109"/>
      <w:bookmarkStart w:id="13" w:name="_Toc64898104"/>
      <w:r w:rsidRPr="00D5166F">
        <w:t>Việc lập danh sách cử tri và cấp Thẻ cử tri đối với các đơn vị vũ trang nhân dân được thực hiện như thế nào?</w:t>
      </w:r>
      <w:bookmarkEnd w:id="12"/>
      <w:bookmarkEnd w:id="13"/>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Trong trường hợp đơn vị vũ trang nhân dân và địa phương có chung khu vực bỏ phiếu thì chỉ huy đơn vị vũ trang nhân dân lập danh sách cử tri trong đơn vị và chuyển cho Ủy ban nhân dân cấp xã để đưa vào danh sách cử tri của khu vực bỏ phiếu. Trong danh sách cử tri (theo Mẫu số 33/HĐBC), đối với cử tri là quân nhân, cột “nghề nghiệp” ghi chung là “lực lượng vũ trang”; cột “nơi cư trú” ghi tên đơn vị hành chính cấp xã nơi đơn vị vũ trang nhân dân đóng quân, không ghi tên hoặc phiên hiệu đơn vị vũ trang nhân dân; cử tri là quân nhân tham gia bầu cử tại nơi đóng quân chỉ thực hiện việc bầu cử đại biểu Quốc hội, đại biểu Hội đồng nhân </w:t>
      </w:r>
      <w:r w:rsidRPr="00D5166F">
        <w:rPr>
          <w:sz w:val="28"/>
          <w:szCs w:val="28"/>
          <w:lang w:eastAsia="en-GB"/>
        </w:rPr>
        <w:lastRenderedPageBreak/>
        <w:t>dân cấp tỉnh và đại biểu Hội đồng nhân dân cấp huyện. Chủ tịch Ủy ban nhân dân cấp xã ký, đóng dấu vào danh sách cử tri và Thẻ cử tri và chuyển lại cho đơn vị vũ trang nhân dân để thực hiện việc niêm yết tại đơn vị và phát Thẻ cử tri cho quân nhân.</w:t>
      </w:r>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Trường hợp đơn vị vũ trang nhân dân được xác định là khu vực bỏ phiếu riêng thì chỉ huy đơn vị vũ trang nhân dân tổ chức việc lập danh sách cử tri, ghi Thẻ cử tri đối với các cử tri là quân nhân trong đơn vị và chuyển cho Ủy ban nhân dân cấp xã để Chủ tịch Ủy ban nhân dân cấp xã ký, đóng dấu vào danh sách cử tri và Thẻ cử tri. Danh sách cử tri chỉ được niêm yết trong phạm vi đơn vị vũ trang nhân dân. Quân nhân đã đăng ký thường trú, tạm trú ở địa phương gần khu vực đóng quân có thể được chỉ huy đơn vị cấp giấy chứng nhận để được ghi tên vào danh sách cử tri và tham gia bỏ phiếu ở nơi cư trú (theo Mẫu số 13/HĐBC). Khi cấp giấy chứng nhận, chỉ huy đơn vị phải ghi ngay vào danh sách cử tri tại đơn vị vũ trang nhân dân bên cạnh tên người đó cụm từ “Bỏ phiếu ở nơi cư trú”.</w:t>
      </w:r>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sz w:val="28"/>
          <w:szCs w:val="28"/>
          <w:lang w:eastAsia="en-GB"/>
        </w:rPr>
        <w:t>Trường hợp 01 đơn vị vũ trang nhân dân có doanh trại đóng quân tập trung trên địa bàn của 02 đơn vị hành chính cấp xã trở lên thì ch</w:t>
      </w:r>
      <w:r>
        <w:rPr>
          <w:sz w:val="28"/>
          <w:szCs w:val="28"/>
          <w:lang w:eastAsia="en-GB"/>
        </w:rPr>
        <w:t>ỉ</w:t>
      </w:r>
      <w:r w:rsidRPr="00D5166F">
        <w:rPr>
          <w:sz w:val="28"/>
          <w:szCs w:val="28"/>
          <w:lang w:eastAsia="en-GB"/>
        </w:rPr>
        <w:t xml:space="preserve"> huy đơn vị trao đổi với Ủy ban nhân dân cấp huyện nơi đơn vị đóng quân, đề nghị chỉ định Ủy ban nhân dân của 01 trong các đơn vị hành chính cấp xã liên quan phối hợp thực hiện việc lập danh sách cử tri và phát Thẻ cử tri cho cử tri tại đơn vị vũ trang nhân dân.</w:t>
      </w:r>
    </w:p>
    <w:p w:rsidR="004264C4" w:rsidRPr="00D5166F" w:rsidRDefault="004264C4" w:rsidP="004264C4">
      <w:pPr>
        <w:pStyle w:val="Heading2"/>
      </w:pPr>
      <w:bookmarkStart w:id="14" w:name="_Toc63100110"/>
      <w:bookmarkStart w:id="15" w:name="_Toc64898105"/>
      <w:r w:rsidRPr="00D5166F">
        <w:t>Việc niêm yết danh sách cử tri được tiến hành như thế nào?</w:t>
      </w:r>
      <w:bookmarkEnd w:id="14"/>
      <w:bookmarkEnd w:id="15"/>
    </w:p>
    <w:p w:rsidR="004264C4" w:rsidRPr="00D5166F" w:rsidRDefault="004264C4" w:rsidP="004264C4">
      <w:pPr>
        <w:widowControl w:val="0"/>
        <w:spacing w:before="120" w:after="120" w:line="340" w:lineRule="exact"/>
        <w:ind w:firstLine="720"/>
        <w:jc w:val="both"/>
        <w:textAlignment w:val="baseline"/>
        <w:rPr>
          <w:sz w:val="28"/>
          <w:szCs w:val="28"/>
          <w:lang w:eastAsia="en-GB"/>
        </w:rPr>
      </w:pPr>
      <w:r w:rsidRPr="00D5166F">
        <w:rPr>
          <w:b/>
          <w:bCs/>
          <w:i/>
          <w:iCs/>
          <w:sz w:val="28"/>
          <w:szCs w:val="28"/>
          <w:lang w:eastAsia="en-GB"/>
        </w:rPr>
        <w:t>Chậm nhất là ngày 14 tháng 4 năm 2021</w:t>
      </w:r>
      <w:r w:rsidRPr="00D5166F">
        <w:rPr>
          <w:sz w:val="28"/>
          <w:szCs w:val="28"/>
          <w:lang w:eastAsia="en-GB"/>
        </w:rPr>
        <w:t xml:space="preserve"> (40 ngày trước ngày bầu cử), Ủy 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955D9B" w:rsidRPr="00D5166F" w:rsidRDefault="00955D9B" w:rsidP="00955D9B">
      <w:pPr>
        <w:widowControl w:val="0"/>
        <w:spacing w:before="120" w:after="120" w:line="340" w:lineRule="exact"/>
        <w:ind w:firstLine="720"/>
        <w:jc w:val="both"/>
        <w:rPr>
          <w:sz w:val="28"/>
          <w:szCs w:val="28"/>
        </w:rPr>
      </w:pPr>
    </w:p>
    <w:p w:rsidR="00E1003D" w:rsidRDefault="001939C6" w:rsidP="00914FCE">
      <w:pPr>
        <w:ind w:firstLine="720"/>
      </w:pPr>
      <w:r>
        <w:tab/>
      </w:r>
      <w:r>
        <w:tab/>
      </w:r>
      <w:r>
        <w:tab/>
      </w:r>
      <w:r>
        <w:tab/>
      </w:r>
      <w:r>
        <w:tab/>
      </w:r>
      <w:r>
        <w:tab/>
      </w:r>
      <w:r>
        <w:tab/>
      </w:r>
      <w:r>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5680"/>
    <w:rsid w:val="00126002"/>
    <w:rsid w:val="00165B6E"/>
    <w:rsid w:val="001939C6"/>
    <w:rsid w:val="0040569E"/>
    <w:rsid w:val="004264C4"/>
    <w:rsid w:val="004324C8"/>
    <w:rsid w:val="00495610"/>
    <w:rsid w:val="004B7945"/>
    <w:rsid w:val="005C157A"/>
    <w:rsid w:val="005E08E9"/>
    <w:rsid w:val="006211FB"/>
    <w:rsid w:val="00643DF5"/>
    <w:rsid w:val="0068108B"/>
    <w:rsid w:val="0078412C"/>
    <w:rsid w:val="007956AE"/>
    <w:rsid w:val="0081598F"/>
    <w:rsid w:val="008B1AEA"/>
    <w:rsid w:val="008B1C4E"/>
    <w:rsid w:val="008B4911"/>
    <w:rsid w:val="008B7BA0"/>
    <w:rsid w:val="008F31F4"/>
    <w:rsid w:val="00914FCE"/>
    <w:rsid w:val="00955D9B"/>
    <w:rsid w:val="0096298E"/>
    <w:rsid w:val="0097448C"/>
    <w:rsid w:val="009E64C7"/>
    <w:rsid w:val="00A0297F"/>
    <w:rsid w:val="00A8550C"/>
    <w:rsid w:val="00AC7613"/>
    <w:rsid w:val="00AF1D18"/>
    <w:rsid w:val="00B841A5"/>
    <w:rsid w:val="00C35FD7"/>
    <w:rsid w:val="00C92897"/>
    <w:rsid w:val="00CC3336"/>
    <w:rsid w:val="00DB7E25"/>
    <w:rsid w:val="00E00CAD"/>
    <w:rsid w:val="00E1003D"/>
    <w:rsid w:val="00E14F4E"/>
    <w:rsid w:val="00E40034"/>
    <w:rsid w:val="00E818AD"/>
    <w:rsid w:val="00E839A1"/>
    <w:rsid w:val="00EA55FE"/>
    <w:rsid w:val="00EB0C08"/>
    <w:rsid w:val="00EE032C"/>
    <w:rsid w:val="00F1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2021-04-29T03:54:00Z</dcterms:created>
  <dcterms:modified xsi:type="dcterms:W3CDTF">2021-04-29T03:54:00Z</dcterms:modified>
</cp:coreProperties>
</file>