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5FE" w:rsidRPr="00165B6E" w:rsidRDefault="00EA55FE" w:rsidP="00EA55FE">
      <w:pPr>
        <w:widowControl w:val="0"/>
        <w:spacing w:before="120" w:after="120" w:line="340" w:lineRule="exact"/>
        <w:jc w:val="center"/>
        <w:rPr>
          <w:b/>
          <w:sz w:val="40"/>
          <w:szCs w:val="40"/>
        </w:rPr>
      </w:pPr>
      <w:bookmarkStart w:id="0" w:name="_Toc441580311"/>
      <w:bookmarkStart w:id="1" w:name="_Toc63100012"/>
      <w:bookmarkStart w:id="2" w:name="_Toc64898007"/>
      <w:bookmarkStart w:id="3" w:name="_GoBack"/>
      <w:bookmarkEnd w:id="3"/>
      <w:r w:rsidRPr="00165B6E">
        <w:rPr>
          <w:b/>
          <w:sz w:val="40"/>
          <w:szCs w:val="40"/>
        </w:rPr>
        <w:t>HỎI - ĐÁP</w:t>
      </w:r>
    </w:p>
    <w:p w:rsidR="00EA55FE" w:rsidRDefault="00EA55FE" w:rsidP="00EA55FE">
      <w:pPr>
        <w:widowControl w:val="0"/>
        <w:spacing w:after="120"/>
        <w:jc w:val="center"/>
        <w:rPr>
          <w:b/>
          <w:sz w:val="32"/>
          <w:szCs w:val="32"/>
        </w:rPr>
      </w:pPr>
      <w:r w:rsidRPr="00EA55FE">
        <w:rPr>
          <w:b/>
          <w:sz w:val="32"/>
          <w:szCs w:val="32"/>
        </w:rPr>
        <w:t>VỀ BẦU CỬ ĐẠI BIỂU QUỐC HỘI KHÓA XV VÀ ĐẠI BIỂU HỘI ĐỒNG NHÂN DÂN CÁC CẤP NHIỆM KỲ 2021-2026</w:t>
      </w:r>
    </w:p>
    <w:p w:rsidR="00E818AD" w:rsidRPr="00EA55FE" w:rsidRDefault="00E00CAD" w:rsidP="00EA55FE">
      <w:pPr>
        <w:widowControl w:val="0"/>
        <w:spacing w:after="120"/>
        <w:jc w:val="center"/>
        <w:rPr>
          <w:b/>
          <w:sz w:val="32"/>
          <w:szCs w:val="32"/>
        </w:rPr>
      </w:pPr>
      <w:r>
        <w:rPr>
          <w:b/>
          <w:sz w:val="32"/>
          <w:szCs w:val="32"/>
        </w:rPr>
        <w:t xml:space="preserve">(PHẦN </w:t>
      </w:r>
      <w:r w:rsidR="00DA71A2">
        <w:rPr>
          <w:b/>
          <w:sz w:val="32"/>
          <w:szCs w:val="32"/>
        </w:rPr>
        <w:t>1</w:t>
      </w:r>
      <w:r w:rsidR="00460A16">
        <w:rPr>
          <w:b/>
          <w:sz w:val="32"/>
          <w:szCs w:val="32"/>
        </w:rPr>
        <w:t>9</w:t>
      </w:r>
      <w:r w:rsidR="00E818AD">
        <w:rPr>
          <w:b/>
          <w:sz w:val="32"/>
          <w:szCs w:val="32"/>
        </w:rPr>
        <w:t>)</w:t>
      </w:r>
    </w:p>
    <w:bookmarkEnd w:id="0"/>
    <w:bookmarkEnd w:id="1"/>
    <w:bookmarkEnd w:id="2"/>
    <w:p w:rsidR="00C824E3" w:rsidRDefault="00C824E3" w:rsidP="002B2685">
      <w:pPr>
        <w:widowControl w:val="0"/>
        <w:spacing w:before="120" w:after="120" w:line="340" w:lineRule="exact"/>
        <w:ind w:firstLine="720"/>
        <w:jc w:val="both"/>
        <w:textAlignment w:val="baseline"/>
        <w:rPr>
          <w:sz w:val="28"/>
          <w:szCs w:val="28"/>
          <w:lang w:eastAsia="en-GB"/>
        </w:rPr>
      </w:pPr>
      <w:r>
        <w:rPr>
          <w:sz w:val="28"/>
          <w:szCs w:val="28"/>
          <w:lang w:eastAsia="en-GB"/>
        </w:rPr>
        <w:t xml:space="preserve"> </w:t>
      </w:r>
    </w:p>
    <w:p w:rsidR="00390B55" w:rsidRPr="00D5166F" w:rsidRDefault="00390B55" w:rsidP="00390B55">
      <w:pPr>
        <w:pStyle w:val="Heading2"/>
      </w:pPr>
      <w:bookmarkStart w:id="4" w:name="_Toc441580415"/>
      <w:bookmarkStart w:id="5" w:name="_Toc63100140"/>
      <w:bookmarkStart w:id="6" w:name="_Toc64898134"/>
      <w:r w:rsidRPr="00D5166F">
        <w:t>Số người ứng cử trong Danh sách chính thức những người ứng cử đại biểu Quốc hội, đại biểu Hội đồng nhân dân ở mỗi đơn vị bầu cử phải đáp ứng yêu cầu nào?</w:t>
      </w:r>
      <w:bookmarkEnd w:id="4"/>
      <w:bookmarkEnd w:id="5"/>
      <w:bookmarkEnd w:id="6"/>
      <w:r w:rsidRPr="00D5166F">
        <w:t xml:space="preserve"> </w:t>
      </w:r>
    </w:p>
    <w:p w:rsidR="00390B55" w:rsidRPr="00D5166F" w:rsidRDefault="00390B55" w:rsidP="00390B55">
      <w:pPr>
        <w:pStyle w:val="n-dieund"/>
        <w:widowControl w:val="0"/>
        <w:spacing w:before="120" w:line="340" w:lineRule="exact"/>
        <w:rPr>
          <w:rStyle w:val="normal-h1"/>
        </w:rPr>
      </w:pPr>
      <w:r w:rsidRPr="00D5166F">
        <w:t xml:space="preserve">Số người trong Danh sách chính thức những người ứng cử đại biểu Quốc hội ở mỗi đơn vị bầu cử đại biểu Quốc hội phải nhiều hơn số đại biểu Quốc hội được bầu đã ấn định cho đơn vị bầu cử đó ít nhất là 02 người. </w:t>
      </w:r>
    </w:p>
    <w:p w:rsidR="00390B55" w:rsidRPr="00D5166F" w:rsidRDefault="00390B55" w:rsidP="00390B55">
      <w:pPr>
        <w:widowControl w:val="0"/>
        <w:spacing w:before="120" w:after="120" w:line="340" w:lineRule="exact"/>
        <w:ind w:firstLine="700"/>
        <w:jc w:val="both"/>
        <w:rPr>
          <w:sz w:val="28"/>
          <w:szCs w:val="28"/>
        </w:rPr>
      </w:pPr>
      <w:r w:rsidRPr="00D5166F">
        <w:rPr>
          <w:sz w:val="28"/>
          <w:szCs w:val="28"/>
        </w:rPr>
        <w:t>Số người trong Danh sách chính thức những người ứng cử đại biểu Hội đồng nhân dân ở mỗi đơn vị bầu cử đại biểu Hội đồng nhân dân ở từng cấp phải nhiều hơn số lượng đại biểu được bầu đã ấn định cho đơn vị bầu cử đó; nếu đơn vị bầu cử được bầu 03 đại biểu thì số người trong danh sách ứng cử phải nhiều hơn số lượng đại biểu được bầu ít nhất là 02 người; nếu đơn vị bầu cử được bầu 04 hoặc 05 đại biểu thì số người trong danh sách ứng cử phải nhiều hơn số lượng đại biểu được bầu ít nhất là 03 người. Trường hợp đơn vị bầu cử đại biểu Hội đồng nhân dân được ấn định bầu 01 hoặc 02 đại biểu thì số người ứng cử chỉ cần nhiều hơn số đại biểu được bầu ít nhất là 01 người.</w:t>
      </w:r>
    </w:p>
    <w:p w:rsidR="00390B55" w:rsidRPr="00D5166F" w:rsidRDefault="00390B55" w:rsidP="00390B55">
      <w:pPr>
        <w:widowControl w:val="0"/>
        <w:spacing w:before="120" w:after="120" w:line="340" w:lineRule="exact"/>
        <w:ind w:firstLine="700"/>
        <w:jc w:val="both"/>
        <w:rPr>
          <w:sz w:val="28"/>
          <w:szCs w:val="28"/>
        </w:rPr>
      </w:pPr>
      <w:r w:rsidRPr="00D5166F">
        <w:rPr>
          <w:sz w:val="28"/>
          <w:szCs w:val="28"/>
        </w:rPr>
        <w:t xml:space="preserve">Hội đồng bầu cử quốc gia sẽ xem xét, quyết định trong trường hợp khuyết người ứng cử đại biểu Quốc hội ở đơn vị bầu cử vì lý do bất khả kháng và hướng dẫn để Ủy ban bầu cử các cấp xem xét, quyết định đối với trường hợp khuyết người ứng cử đại biểu Hội đồng nhân dân ở đơn vị bầu cử vì lý do bất khả kháng. </w:t>
      </w:r>
    </w:p>
    <w:p w:rsidR="00390B55" w:rsidRPr="00D42D21" w:rsidRDefault="00390B55" w:rsidP="00390B55">
      <w:pPr>
        <w:pStyle w:val="Heading2"/>
      </w:pPr>
      <w:bookmarkStart w:id="7" w:name="_Toc63100141"/>
      <w:bookmarkStart w:id="8" w:name="_Toc64898135"/>
      <w:r w:rsidRPr="00D5166F">
        <w:t xml:space="preserve">Việc xử lý trường hợp khuyết người ứng cử đại biểu Hội </w:t>
      </w:r>
      <w:r w:rsidRPr="00D42D21">
        <w:t>đồng nhân dân vì lý do bất khả kháng được thực hiện như thế nào?</w:t>
      </w:r>
      <w:bookmarkEnd w:id="7"/>
      <w:bookmarkEnd w:id="8"/>
    </w:p>
    <w:p w:rsidR="00390B55" w:rsidRPr="00D5166F" w:rsidRDefault="00390B55" w:rsidP="00390B55">
      <w:pPr>
        <w:widowControl w:val="0"/>
        <w:spacing w:before="120" w:after="120" w:line="340" w:lineRule="exact"/>
        <w:ind w:firstLine="700"/>
        <w:jc w:val="both"/>
        <w:rPr>
          <w:sz w:val="28"/>
          <w:szCs w:val="28"/>
        </w:rPr>
      </w:pPr>
      <w:r w:rsidRPr="00D42D21">
        <w:rPr>
          <w:sz w:val="28"/>
          <w:szCs w:val="28"/>
        </w:rPr>
        <w:t>Đối với cuộc bầu cử năm 2016, Hội đồng bầu cử quốc gia đã có hướng dẫn như sau:</w:t>
      </w:r>
      <w:r w:rsidRPr="00D42D21">
        <w:rPr>
          <w:rStyle w:val="FootnoteReference"/>
          <w:sz w:val="28"/>
          <w:szCs w:val="28"/>
        </w:rPr>
        <w:footnoteReference w:id="1"/>
      </w:r>
    </w:p>
    <w:p w:rsidR="00390B55" w:rsidRPr="00D5166F" w:rsidRDefault="00390B55" w:rsidP="00390B55">
      <w:pPr>
        <w:widowControl w:val="0"/>
        <w:numPr>
          <w:ilvl w:val="0"/>
          <w:numId w:val="3"/>
        </w:numPr>
        <w:tabs>
          <w:tab w:val="left" w:pos="993"/>
        </w:tabs>
        <w:spacing w:before="120" w:after="120" w:line="340" w:lineRule="exact"/>
        <w:ind w:left="0" w:firstLine="707"/>
        <w:jc w:val="both"/>
        <w:rPr>
          <w:sz w:val="28"/>
          <w:szCs w:val="28"/>
        </w:rPr>
      </w:pPr>
      <w:r w:rsidRPr="00D5166F">
        <w:rPr>
          <w:sz w:val="28"/>
          <w:szCs w:val="28"/>
        </w:rPr>
        <w:t xml:space="preserve">Trường hợp khuyết người ứng cử đại biểu Hội đồng nhân dân vì lý do bất khả kháng được hiểu là sau khi Ủy ban bầu cử công bố Danh sách chính thức những người ứng cử đại biểu Hội đồng nhân dân ở đơn vị bầu cử mà người ứng cử </w:t>
      </w:r>
      <w:r w:rsidRPr="00D5166F">
        <w:rPr>
          <w:sz w:val="28"/>
          <w:szCs w:val="28"/>
        </w:rPr>
        <w:lastRenderedPageBreak/>
        <w:t>đại biểu Hội đồng nhân dân vì lý do bất khả kháng (chết, bị xóa tên khỏi danh sách chính thức những người ứng cử…) không thể tiếp tục ứng cử theo quy định của pháp luật dẫn đến số lượng người ứng cử tại đơn vị bầu cử ít hơn so với số đã được công bố.</w:t>
      </w:r>
    </w:p>
    <w:p w:rsidR="00390B55" w:rsidRPr="00D5166F" w:rsidRDefault="00390B55" w:rsidP="00390B55">
      <w:pPr>
        <w:widowControl w:val="0"/>
        <w:numPr>
          <w:ilvl w:val="0"/>
          <w:numId w:val="3"/>
        </w:numPr>
        <w:tabs>
          <w:tab w:val="left" w:pos="993"/>
        </w:tabs>
        <w:spacing w:before="120" w:after="120" w:line="340" w:lineRule="exact"/>
        <w:ind w:left="0" w:firstLine="707"/>
        <w:jc w:val="both"/>
        <w:rPr>
          <w:sz w:val="28"/>
          <w:szCs w:val="28"/>
        </w:rPr>
      </w:pPr>
      <w:r w:rsidRPr="00D5166F">
        <w:rPr>
          <w:sz w:val="28"/>
          <w:szCs w:val="28"/>
        </w:rPr>
        <w:t xml:space="preserve">Nếu khuyết người ứng cử trong thời gian từ sau khi Ủy ban bầu cử công bố Danh sách chính thức những người ứng cử đại biểu Hội đồng nhân dân ở đơn vị bầu cử đến trước khi Danh sách này được niêm yết, thì Ủy ban bầu cử sau khi thống nhất với Ban Thường trực </w:t>
      </w:r>
      <w:r>
        <w:rPr>
          <w:sz w:val="28"/>
          <w:szCs w:val="28"/>
        </w:rPr>
        <w:t>Ủy</w:t>
      </w:r>
      <w:r w:rsidRPr="00D5166F">
        <w:rPr>
          <w:sz w:val="28"/>
          <w:szCs w:val="28"/>
        </w:rPr>
        <w:t xml:space="preserve"> ban Mặt trận Tổ quốc Việt Nam cùng cấp quyết định theo một trong các hình thức sau đây, đồng thời báo cáo </w:t>
      </w:r>
      <w:r>
        <w:rPr>
          <w:sz w:val="28"/>
          <w:szCs w:val="28"/>
        </w:rPr>
        <w:t>Ủy</w:t>
      </w:r>
      <w:r w:rsidRPr="00D5166F">
        <w:rPr>
          <w:sz w:val="28"/>
          <w:szCs w:val="28"/>
        </w:rPr>
        <w:t xml:space="preserve"> ban bầu cử cấp trên trực tiếp; đối với đơn vị bầu cử đại biểu Hội đồng nhân dân cấp tỉnh thì báo cáo để Hội đồng bầu cử quốc gia:</w:t>
      </w:r>
    </w:p>
    <w:p w:rsidR="00390B55" w:rsidRPr="00D5166F" w:rsidRDefault="00390B55" w:rsidP="00390B55">
      <w:pPr>
        <w:widowControl w:val="0"/>
        <w:spacing w:before="120" w:after="120" w:line="340" w:lineRule="exact"/>
        <w:ind w:firstLine="700"/>
        <w:jc w:val="both"/>
        <w:rPr>
          <w:sz w:val="28"/>
          <w:szCs w:val="28"/>
        </w:rPr>
      </w:pPr>
      <w:r w:rsidRPr="00D5166F">
        <w:rPr>
          <w:sz w:val="28"/>
          <w:szCs w:val="28"/>
        </w:rPr>
        <w:t>- Quyết định giữ nguyên danh sách chính thức những người ứng cử còn lại khi số dư người ứng cử vẫn đảm bảo theo quy định của pháp luật.</w:t>
      </w:r>
    </w:p>
    <w:p w:rsidR="00390B55" w:rsidRPr="00D5166F" w:rsidRDefault="00390B55" w:rsidP="00390B55">
      <w:pPr>
        <w:widowControl w:val="0"/>
        <w:spacing w:before="120" w:after="120" w:line="340" w:lineRule="exact"/>
        <w:ind w:firstLine="700"/>
        <w:jc w:val="both"/>
        <w:rPr>
          <w:sz w:val="28"/>
          <w:szCs w:val="28"/>
        </w:rPr>
      </w:pPr>
      <w:r w:rsidRPr="00D5166F">
        <w:rPr>
          <w:sz w:val="28"/>
          <w:szCs w:val="28"/>
        </w:rPr>
        <w:t xml:space="preserve">- Quyết định bổ sung người có số phiếu tín nhiệm cao nhất và đạt trên 50% </w:t>
      </w:r>
      <w:r>
        <w:rPr>
          <w:sz w:val="28"/>
          <w:szCs w:val="28"/>
        </w:rPr>
        <w:t xml:space="preserve">tổng </w:t>
      </w:r>
      <w:r w:rsidRPr="00D5166F">
        <w:rPr>
          <w:sz w:val="28"/>
          <w:szCs w:val="28"/>
        </w:rPr>
        <w:t>số phiếu tín nhiệm trong số những người còn lại trong danh sách những người ứng cử được xem xét tại Hội nghị hiệp thương lần thứ ba vào Danh sách chính thức những người ứng cử khi đáp ứng đầy đủ các điều kiện sau:</w:t>
      </w:r>
    </w:p>
    <w:p w:rsidR="00390B55" w:rsidRPr="00D5166F" w:rsidRDefault="00390B55" w:rsidP="00390B55">
      <w:pPr>
        <w:widowControl w:val="0"/>
        <w:spacing w:before="120" w:after="120" w:line="340" w:lineRule="exact"/>
        <w:ind w:firstLine="700"/>
        <w:jc w:val="both"/>
        <w:rPr>
          <w:sz w:val="28"/>
          <w:szCs w:val="28"/>
        </w:rPr>
      </w:pPr>
      <w:r w:rsidRPr="00D5166F">
        <w:rPr>
          <w:sz w:val="28"/>
          <w:szCs w:val="28"/>
        </w:rPr>
        <w:t>+ Số dư người ứng cử ở đơn vị bầu cử không đảm bảo theo quy định của pháp luật;</w:t>
      </w:r>
    </w:p>
    <w:p w:rsidR="00390B55" w:rsidRPr="00D5166F" w:rsidRDefault="00390B55" w:rsidP="00390B55">
      <w:pPr>
        <w:widowControl w:val="0"/>
        <w:spacing w:before="120" w:after="120" w:line="340" w:lineRule="exact"/>
        <w:ind w:firstLine="700"/>
        <w:jc w:val="both"/>
        <w:rPr>
          <w:sz w:val="28"/>
          <w:szCs w:val="28"/>
        </w:rPr>
      </w:pPr>
      <w:r w:rsidRPr="00D5166F">
        <w:rPr>
          <w:sz w:val="28"/>
          <w:szCs w:val="28"/>
        </w:rPr>
        <w:t xml:space="preserve">+ Trong danh sách hiệp thương lần thứ ba còn có người ứng cử đạt trên 50% </w:t>
      </w:r>
      <w:r>
        <w:rPr>
          <w:sz w:val="28"/>
          <w:szCs w:val="28"/>
        </w:rPr>
        <w:t xml:space="preserve">tổng </w:t>
      </w:r>
      <w:r w:rsidRPr="00D5166F">
        <w:rPr>
          <w:sz w:val="28"/>
          <w:szCs w:val="28"/>
        </w:rPr>
        <w:t>số phiếu tín nhiệm trở lên;</w:t>
      </w:r>
    </w:p>
    <w:p w:rsidR="00390B55" w:rsidRPr="00D5166F" w:rsidRDefault="00390B55" w:rsidP="00390B55">
      <w:pPr>
        <w:widowControl w:val="0"/>
        <w:spacing w:before="120" w:after="120" w:line="340" w:lineRule="exact"/>
        <w:ind w:firstLine="700"/>
        <w:jc w:val="both"/>
        <w:rPr>
          <w:sz w:val="28"/>
          <w:szCs w:val="28"/>
        </w:rPr>
      </w:pPr>
      <w:r w:rsidRPr="00D5166F">
        <w:rPr>
          <w:sz w:val="28"/>
          <w:szCs w:val="28"/>
        </w:rPr>
        <w:t xml:space="preserve">+ Thời gian để bổ sung phải còn từ 02 ngày trở lên tính đến trước </w:t>
      </w:r>
      <w:r>
        <w:rPr>
          <w:sz w:val="28"/>
          <w:szCs w:val="28"/>
        </w:rPr>
        <w:t>ngày</w:t>
      </w:r>
      <w:r w:rsidRPr="00D5166F">
        <w:rPr>
          <w:sz w:val="28"/>
          <w:szCs w:val="28"/>
        </w:rPr>
        <w:t xml:space="preserve"> niêm yết Danh sách chính thức những người ứng cử.</w:t>
      </w:r>
    </w:p>
    <w:p w:rsidR="00390B55" w:rsidRPr="00D5166F" w:rsidRDefault="00390B55" w:rsidP="00390B55">
      <w:pPr>
        <w:widowControl w:val="0"/>
        <w:spacing w:before="120" w:after="120" w:line="340" w:lineRule="exact"/>
        <w:ind w:firstLine="700"/>
        <w:jc w:val="both"/>
        <w:rPr>
          <w:sz w:val="28"/>
          <w:szCs w:val="28"/>
        </w:rPr>
      </w:pPr>
      <w:r w:rsidRPr="00D5166F">
        <w:rPr>
          <w:sz w:val="28"/>
          <w:szCs w:val="28"/>
        </w:rPr>
        <w:t>- Quyết định giảm số đại biểu Hội đồng nhân dân được bầu ở đơn vị bầu cử để đảm bảo số dư theo quy định của pháp luật nếu không đáp ứng được một trong các điều kiện nói trên.</w:t>
      </w:r>
    </w:p>
    <w:p w:rsidR="00390B55" w:rsidRPr="00D5166F" w:rsidRDefault="00390B55" w:rsidP="00390B55">
      <w:pPr>
        <w:widowControl w:val="0"/>
        <w:numPr>
          <w:ilvl w:val="0"/>
          <w:numId w:val="3"/>
        </w:numPr>
        <w:tabs>
          <w:tab w:val="left" w:pos="993"/>
        </w:tabs>
        <w:spacing w:before="120" w:after="120" w:line="340" w:lineRule="exact"/>
        <w:ind w:left="0" w:firstLine="707"/>
        <w:jc w:val="both"/>
        <w:rPr>
          <w:sz w:val="28"/>
          <w:szCs w:val="28"/>
        </w:rPr>
      </w:pPr>
      <w:r w:rsidRPr="00D5166F">
        <w:rPr>
          <w:sz w:val="28"/>
          <w:szCs w:val="28"/>
        </w:rPr>
        <w:t xml:space="preserve">Nếu khuyết người ứng cử trong thời gian từ sau khi Danh sách chính thức  những người ứng cử đại biểu Hội đồng nhân dân đã được niêm yết cho đến ngày bầu cử, thì Ủy ban bầu cử sau khi thống nhất với Ban Thường trực </w:t>
      </w:r>
      <w:r>
        <w:rPr>
          <w:sz w:val="28"/>
          <w:szCs w:val="28"/>
        </w:rPr>
        <w:t>Ủy</w:t>
      </w:r>
      <w:r w:rsidRPr="00D5166F">
        <w:rPr>
          <w:sz w:val="28"/>
          <w:szCs w:val="28"/>
        </w:rPr>
        <w:t xml:space="preserve"> ban Mặt trận Tổ quốc Việt Nam cùng cấp quyết định theo một trong các hình thức sau đây:</w:t>
      </w:r>
    </w:p>
    <w:p w:rsidR="00390B55" w:rsidRPr="00D5166F" w:rsidRDefault="00390B55" w:rsidP="00390B55">
      <w:pPr>
        <w:widowControl w:val="0"/>
        <w:spacing w:before="120" w:after="120" w:line="340" w:lineRule="exact"/>
        <w:ind w:firstLine="700"/>
        <w:jc w:val="both"/>
        <w:rPr>
          <w:sz w:val="28"/>
          <w:szCs w:val="28"/>
        </w:rPr>
      </w:pPr>
      <w:r w:rsidRPr="00D5166F">
        <w:rPr>
          <w:sz w:val="28"/>
          <w:szCs w:val="28"/>
        </w:rPr>
        <w:t>- Quyết định giữ Danh sách chính thức những người ứng cử đại biểu Hội đồng nhân dân còn lại khi số người ứng cử vẫn nhiều hơn số đại biểu được bầu tại đơn vị bầu cử đó (ít nhất là 01 người).</w:t>
      </w:r>
    </w:p>
    <w:p w:rsidR="00390B55" w:rsidRPr="00D5166F" w:rsidRDefault="00390B55" w:rsidP="00390B55">
      <w:pPr>
        <w:widowControl w:val="0"/>
        <w:spacing w:before="120" w:after="120" w:line="340" w:lineRule="exact"/>
        <w:ind w:firstLine="700"/>
        <w:jc w:val="both"/>
        <w:rPr>
          <w:sz w:val="28"/>
          <w:szCs w:val="28"/>
        </w:rPr>
      </w:pPr>
      <w:r w:rsidRPr="00D5166F">
        <w:rPr>
          <w:sz w:val="28"/>
          <w:szCs w:val="28"/>
        </w:rPr>
        <w:t xml:space="preserve">- Quyết định giảm số đại biểu Hội đồng nhân dân được bầu ở đơn vị bầu cử </w:t>
      </w:r>
      <w:r w:rsidRPr="00D5166F">
        <w:rPr>
          <w:sz w:val="28"/>
          <w:szCs w:val="28"/>
        </w:rPr>
        <w:lastRenderedPageBreak/>
        <w:t>để đảm bảo số người ứng cử phải nhiều hơn số đại biểu được bầu tại đơn vị bầu cử đó ít nhất là 01 người.</w:t>
      </w:r>
    </w:p>
    <w:p w:rsidR="00390B55" w:rsidRPr="00D5166F" w:rsidRDefault="00390B55" w:rsidP="00390B55">
      <w:pPr>
        <w:widowControl w:val="0"/>
        <w:spacing w:before="120" w:after="120" w:line="340" w:lineRule="exact"/>
        <w:ind w:firstLine="700"/>
        <w:jc w:val="both"/>
        <w:rPr>
          <w:sz w:val="28"/>
          <w:szCs w:val="28"/>
        </w:rPr>
      </w:pPr>
      <w:r w:rsidRPr="00D5166F">
        <w:rPr>
          <w:sz w:val="28"/>
          <w:szCs w:val="28"/>
        </w:rPr>
        <w:t xml:space="preserve">Quyết định của Ủy ban bầu cử phải được báo cáo ngay đến </w:t>
      </w:r>
      <w:r>
        <w:rPr>
          <w:sz w:val="28"/>
          <w:szCs w:val="28"/>
        </w:rPr>
        <w:t>Ủy</w:t>
      </w:r>
      <w:r w:rsidRPr="00D5166F">
        <w:rPr>
          <w:sz w:val="28"/>
          <w:szCs w:val="28"/>
        </w:rPr>
        <w:t xml:space="preserve"> ban bầu cử </w:t>
      </w:r>
      <w:r>
        <w:rPr>
          <w:sz w:val="28"/>
          <w:szCs w:val="28"/>
        </w:rPr>
        <w:t xml:space="preserve">ở </w:t>
      </w:r>
      <w:r w:rsidRPr="00D5166F">
        <w:rPr>
          <w:sz w:val="28"/>
          <w:szCs w:val="28"/>
        </w:rPr>
        <w:t>cấp trên trực tiếp (đối với trường hợp khuyết người ứng cử tại đơn vị bầu cử đại biểu Hội đồng nhân dân cấp huyện, cấp xã) hoặc đến Hội đồng bầu cử quốc gia (đối với trường hợp khuyết người ứng cử tại đơn vị bầu cử đại biểu Hội đồng nhân dân cấp tỉnh).</w:t>
      </w:r>
    </w:p>
    <w:p w:rsidR="00390B55" w:rsidRPr="00D5166F" w:rsidRDefault="00390B55" w:rsidP="00390B55">
      <w:pPr>
        <w:pStyle w:val="Heading2"/>
      </w:pPr>
      <w:bookmarkStart w:id="9" w:name="_Toc441580417"/>
      <w:bookmarkStart w:id="10" w:name="_Toc63100142"/>
      <w:bookmarkStart w:id="11" w:name="_Toc64898136"/>
      <w:r w:rsidRPr="00D5166F">
        <w:t>Các khiếu nại, tố cáo về người ứng cử và các khiếu nại, kiến nghị về những sai sót trong việc lập danh sách những người ứng cử được thực hiện như thế nào?</w:t>
      </w:r>
      <w:bookmarkEnd w:id="9"/>
      <w:bookmarkEnd w:id="10"/>
      <w:bookmarkEnd w:id="11"/>
      <w:r w:rsidRPr="00D5166F">
        <w:t xml:space="preserve"> </w:t>
      </w:r>
    </w:p>
    <w:p w:rsidR="00390B55" w:rsidRPr="00D5166F" w:rsidRDefault="00390B55" w:rsidP="00390B55">
      <w:pPr>
        <w:widowControl w:val="0"/>
        <w:overflowPunct w:val="0"/>
        <w:spacing w:before="120" w:after="120" w:line="340" w:lineRule="exact"/>
        <w:ind w:firstLine="697"/>
        <w:jc w:val="both"/>
        <w:textAlignment w:val="baseline"/>
        <w:rPr>
          <w:sz w:val="28"/>
          <w:szCs w:val="28"/>
        </w:rPr>
      </w:pPr>
      <w:r w:rsidRPr="00D5166F">
        <w:rPr>
          <w:sz w:val="28"/>
          <w:szCs w:val="28"/>
        </w:rPr>
        <w:t>Công dân có quyền tố cáo về người ứng cử, khiếu nại, tố cáo, kiến nghị về những sai sót trong việc lập danh sách những người ứng cử. Việc khiếu nại, tố cáo, kiến nghị được thực hiện như sau:</w:t>
      </w:r>
    </w:p>
    <w:p w:rsidR="00390B55" w:rsidRPr="00D5166F" w:rsidRDefault="00390B55" w:rsidP="00390B55">
      <w:pPr>
        <w:widowControl w:val="0"/>
        <w:overflowPunct w:val="0"/>
        <w:spacing w:before="120" w:after="120" w:line="340" w:lineRule="exact"/>
        <w:ind w:firstLine="697"/>
        <w:jc w:val="both"/>
        <w:textAlignment w:val="baseline"/>
        <w:rPr>
          <w:sz w:val="28"/>
          <w:szCs w:val="28"/>
        </w:rPr>
      </w:pPr>
      <w:r w:rsidRPr="00D5166F">
        <w:rPr>
          <w:sz w:val="28"/>
          <w:szCs w:val="28"/>
        </w:rPr>
        <w:t>- Khiếu nại, tố cáo, kiến nghị liên quan đến người ứng cử đại biểu Quốc hội, việc lập danh sách những người ứng cử đại biểu Quốc hội được gửi đến Ban bầu cử đại biểu Quốc hội, Ủy ban bầu cử ở tỉnh,</w:t>
      </w:r>
      <w:r>
        <w:rPr>
          <w:sz w:val="28"/>
          <w:szCs w:val="28"/>
        </w:rPr>
        <w:t xml:space="preserve"> thành phố trực thuộc trung ương hoặc</w:t>
      </w:r>
      <w:r w:rsidRPr="00D5166F">
        <w:rPr>
          <w:sz w:val="28"/>
          <w:szCs w:val="28"/>
        </w:rPr>
        <w:t xml:space="preserve"> Hội đồng bầu cử quốc gia. Trường hợp người khiếu nại, tố cáo, kiến nghị không đồng ý với kết quả giải quyết của Ban bầu cử, Ủy ban bầu cử thì có quyền khiếu nại đến Hội đồng bầu cử quốc gia. Quyết định của Hội đồng bầu cử quốc gia là quyết định cuối cùng.</w:t>
      </w:r>
    </w:p>
    <w:p w:rsidR="00390B55" w:rsidRPr="00D5166F" w:rsidRDefault="00390B55" w:rsidP="00390B55">
      <w:pPr>
        <w:widowControl w:val="0"/>
        <w:spacing w:before="120" w:after="120" w:line="340" w:lineRule="exact"/>
        <w:ind w:firstLine="697"/>
        <w:jc w:val="both"/>
        <w:rPr>
          <w:snapToGrid w:val="0"/>
          <w:sz w:val="28"/>
          <w:szCs w:val="28"/>
        </w:rPr>
      </w:pPr>
      <w:r w:rsidRPr="00D5166F">
        <w:rPr>
          <w:sz w:val="28"/>
          <w:szCs w:val="28"/>
        </w:rPr>
        <w:t xml:space="preserve">- Khiếu nại, tố cáo, kiến nghị liên quan đến người ứng cử đại biểu Hội đồng nhân dân, việc lập danh sách những người ứng cử đại biểu Hội đồng nhân dân ở cấp nào thì được gửi tới </w:t>
      </w:r>
      <w:r w:rsidRPr="00D5166F">
        <w:rPr>
          <w:snapToGrid w:val="0"/>
          <w:sz w:val="28"/>
          <w:szCs w:val="28"/>
        </w:rPr>
        <w:t>Ban bầu cử đại biểu Hội đồng nhân dân ở cấp đó. Trường hợp người khiếu nại, tố cáo, kiến nghị không đồng ý với kết quả giải quyết của Ban bầu cử thì có quyền khiếu nại đến Ủy ban bầu cử ở cấp tương ứng. Quyết định của Ủy ban bầu cử là quyết định cuối cùng.</w:t>
      </w:r>
    </w:p>
    <w:p w:rsidR="00390B55" w:rsidRPr="00D5166F" w:rsidRDefault="00390B55" w:rsidP="00390B55">
      <w:pPr>
        <w:widowControl w:val="0"/>
        <w:overflowPunct w:val="0"/>
        <w:spacing w:before="120" w:after="120" w:line="340" w:lineRule="exact"/>
        <w:ind w:firstLine="697"/>
        <w:jc w:val="both"/>
        <w:textAlignment w:val="baseline"/>
        <w:rPr>
          <w:sz w:val="28"/>
          <w:szCs w:val="28"/>
        </w:rPr>
      </w:pPr>
      <w:r w:rsidRPr="00D5166F">
        <w:rPr>
          <w:sz w:val="28"/>
          <w:szCs w:val="28"/>
        </w:rPr>
        <w:t>- Ban bầu cử, Ủy ban bầu cử, Hội đồng bầu cử quốc gia phải ghi vào sổ và giải quyết khiếu nại, tố cáo, kiến nghị nhận được theo thẩm quyền.</w:t>
      </w:r>
    </w:p>
    <w:p w:rsidR="00390B55" w:rsidRDefault="00390B55" w:rsidP="00390B55">
      <w:pPr>
        <w:widowControl w:val="0"/>
        <w:overflowPunct w:val="0"/>
        <w:spacing w:before="120" w:after="120" w:line="340" w:lineRule="exact"/>
        <w:ind w:firstLine="697"/>
        <w:jc w:val="both"/>
        <w:textAlignment w:val="baseline"/>
        <w:rPr>
          <w:sz w:val="28"/>
          <w:szCs w:val="28"/>
        </w:rPr>
      </w:pPr>
      <w:r w:rsidRPr="00D5166F">
        <w:rPr>
          <w:sz w:val="28"/>
          <w:szCs w:val="28"/>
        </w:rPr>
        <w:t>Không xem xét, giải quyết đối với những đơn tố cáo không có họ, tên người tố cáo hoặc mạo danh người khác để tố cáo.</w:t>
      </w:r>
    </w:p>
    <w:p w:rsidR="00390B55" w:rsidRDefault="00390B55" w:rsidP="00390B55">
      <w:pPr>
        <w:pStyle w:val="Heading2"/>
      </w:pPr>
      <w:bookmarkStart w:id="12" w:name="_Toc62835112"/>
      <w:bookmarkStart w:id="13" w:name="_Toc63100143"/>
      <w:bookmarkStart w:id="14" w:name="_Toc63100144"/>
      <w:bookmarkStart w:id="15" w:name="_Toc64898137"/>
      <w:bookmarkEnd w:id="12"/>
      <w:bookmarkEnd w:id="13"/>
      <w:r>
        <w:t>Việc thay đổi, đính chính hồ sơ ứng cử có thể được thực hiện như thế nào?</w:t>
      </w:r>
      <w:bookmarkEnd w:id="14"/>
      <w:bookmarkEnd w:id="15"/>
    </w:p>
    <w:p w:rsidR="00390B55" w:rsidRDefault="00390B55" w:rsidP="00390B55">
      <w:pPr>
        <w:spacing w:before="120" w:after="120"/>
        <w:ind w:firstLine="720"/>
        <w:jc w:val="both"/>
        <w:rPr>
          <w:sz w:val="28"/>
          <w:szCs w:val="28"/>
        </w:rPr>
      </w:pPr>
      <w:r>
        <w:rPr>
          <w:sz w:val="28"/>
          <w:szCs w:val="28"/>
        </w:rPr>
        <w:t xml:space="preserve">Trường hợp từ sau khi nộp hồ sơ ứng cử đến trước khi công bố Danh sách chính thức những người ứng cử đại biểu Quốc hội, đại biểu Hội đồng nhân dân mà người ứng cử có sự thay đổi một số thông tin trong hồ sơ ứng cử đã nộp như nơi ở, </w:t>
      </w:r>
      <w:r>
        <w:rPr>
          <w:sz w:val="28"/>
          <w:szCs w:val="28"/>
        </w:rPr>
        <w:lastRenderedPageBreak/>
        <w:t>nghề nghiệp hoặc trình độ, các hình thức khen thưởng… mà không ảnh hưởng đến tiêu chuẩn, điều kiện ứng cử, thì Hội đồng bầu cử quốc gia hoặc Ủy ban bầu cử nơi đã nhận hồ sơ ứng cử hướng dẫn người ứng cử làm văn bản gửi Ủy ban bầu cử đề nghị đính chính, ghi rõ những thay đổi trong hồ sơ và cam đoan việc đính chính là đúng sự thật, nếu sai thì người ứng cử phải chịu hoàn toàn trách nhiệm trước pháp luật. Đối với người ứng cử đại biểu Quốc hội đã nộp hồ sơ ứng cử tại Ủy ban bầu cử ở tỉnh, thành phố trực thuộc trung ương thì sau khi nhận được văn bản đề nghị đính chính</w:t>
      </w:r>
      <w:r w:rsidRPr="00AD02A7">
        <w:rPr>
          <w:sz w:val="28"/>
          <w:szCs w:val="28"/>
        </w:rPr>
        <w:t xml:space="preserve"> </w:t>
      </w:r>
      <w:r>
        <w:rPr>
          <w:sz w:val="28"/>
          <w:szCs w:val="28"/>
        </w:rPr>
        <w:t>của người ứng cử, Ủy ban bầu cử cần báo cáo ngay bằng văn bản đến Hội đồng bầu cử quốc gia về việc đính chính hồ sơ của người ứng cử kèm theo văn bản, tài liệu đính chính mà người ứng cử đại biểu đã nộp trước đó để thực hiện việc đính chính.</w:t>
      </w:r>
    </w:p>
    <w:p w:rsidR="00390B55" w:rsidRDefault="00390B55" w:rsidP="00390B55">
      <w:pPr>
        <w:spacing w:before="120" w:after="120"/>
        <w:ind w:firstLine="720"/>
        <w:jc w:val="both"/>
        <w:rPr>
          <w:sz w:val="28"/>
          <w:szCs w:val="28"/>
        </w:rPr>
      </w:pPr>
      <w:r>
        <w:rPr>
          <w:sz w:val="28"/>
          <w:szCs w:val="28"/>
        </w:rPr>
        <w:t>Trường hợp sau khi Danh sách chính thức những người ứng cử theo từng đơn vị bầu cử đã được công bố và niêm yết thì không thực hiện việc đính chính và in lại danh sách và tiểu sử tóm tắt những người ứng cử để thay thế cho nội dung đã công bố, niêm yết nữa, song Ủy ban bầu cử cần cập nhật thông tin vào danh sách khi công bố kết quả bầu cử; trường hợp nội dung đính chính liên quan đến người ứng cử đại biểu Quốc hội thì cần cần báo cáo bằng văn bản đến Hội đồng bầu cử quốc gia để thống nhất trong việc cập nhật và công bố thông tin.</w:t>
      </w:r>
    </w:p>
    <w:p w:rsidR="00390B55" w:rsidRPr="00D5166F" w:rsidRDefault="00390B55" w:rsidP="00390B55">
      <w:pPr>
        <w:pStyle w:val="Heading2"/>
      </w:pPr>
      <w:bookmarkStart w:id="16" w:name="_Toc441580418"/>
      <w:bookmarkStart w:id="17" w:name="_Toc63100145"/>
      <w:bookmarkStart w:id="18" w:name="_Toc64898138"/>
      <w:r w:rsidRPr="00D5166F">
        <w:t>Thời hạn tạm ngừng việc xem xét khiếu nại, tố cáo đối với người ứng cử được quy định như thế nào?</w:t>
      </w:r>
      <w:bookmarkEnd w:id="16"/>
      <w:bookmarkEnd w:id="17"/>
      <w:bookmarkEnd w:id="18"/>
      <w:r w:rsidRPr="00D5166F">
        <w:t xml:space="preserve"> </w:t>
      </w:r>
    </w:p>
    <w:p w:rsidR="00390B55" w:rsidRPr="00D5166F" w:rsidRDefault="00390B55" w:rsidP="00390B55">
      <w:pPr>
        <w:widowControl w:val="0"/>
        <w:spacing w:before="120" w:after="120" w:line="340" w:lineRule="exact"/>
        <w:ind w:firstLine="720"/>
        <w:jc w:val="both"/>
        <w:rPr>
          <w:sz w:val="28"/>
          <w:szCs w:val="28"/>
        </w:rPr>
      </w:pPr>
      <w:r w:rsidRPr="00D5166F">
        <w:rPr>
          <w:sz w:val="28"/>
          <w:szCs w:val="28"/>
        </w:rPr>
        <w:t xml:space="preserve">Trong thời hạn 10 ngày trước ngày bầu cử (tức là </w:t>
      </w:r>
      <w:r w:rsidRPr="00D5166F">
        <w:rPr>
          <w:b/>
          <w:i/>
          <w:sz w:val="28"/>
          <w:szCs w:val="28"/>
        </w:rPr>
        <w:t>từ ngày 1</w:t>
      </w:r>
      <w:r>
        <w:rPr>
          <w:b/>
          <w:i/>
          <w:sz w:val="28"/>
          <w:szCs w:val="28"/>
        </w:rPr>
        <w:t>3</w:t>
      </w:r>
      <w:r w:rsidRPr="00D5166F">
        <w:rPr>
          <w:b/>
          <w:i/>
          <w:sz w:val="28"/>
          <w:szCs w:val="28"/>
        </w:rPr>
        <w:t xml:space="preserve"> tháng 5 năm 2021 trở đi</w:t>
      </w:r>
      <w:r w:rsidRPr="00D5166F">
        <w:rPr>
          <w:sz w:val="28"/>
          <w:szCs w:val="28"/>
        </w:rPr>
        <w:t xml:space="preserve">), Hội đồng bầu cử quốc gia, Ủy ban bầu cử, Ban bầu cử ngừng việc xem xét, giải quyết mọi khiếu nại, tố cáo về người ứng cử và việc lập danh sách những người ứng cử. </w:t>
      </w:r>
    </w:p>
    <w:p w:rsidR="00390B55" w:rsidRPr="00D5166F" w:rsidRDefault="00390B55" w:rsidP="00390B55">
      <w:pPr>
        <w:widowControl w:val="0"/>
        <w:overflowPunct w:val="0"/>
        <w:spacing w:before="120" w:after="120" w:line="340" w:lineRule="exact"/>
        <w:ind w:firstLine="697"/>
        <w:jc w:val="both"/>
        <w:textAlignment w:val="baseline"/>
        <w:rPr>
          <w:sz w:val="28"/>
          <w:szCs w:val="28"/>
        </w:rPr>
      </w:pPr>
      <w:r w:rsidRPr="00D5166F">
        <w:rPr>
          <w:sz w:val="28"/>
          <w:szCs w:val="28"/>
        </w:rPr>
        <w:t xml:space="preserve">Trong trường hợp những khiếu nại, tố cáo đã rõ ràng, có đủ cơ sở kết luận người ứng cử không đáp ứng đủ tiêu chuẩn của đại biểu Quốc hội, đại biểu Hội đồng nhân dân thì Hội đồng bầu cử quốc gia (đối với bầu cử đại biểu Quốc hội) hoặc </w:t>
      </w:r>
      <w:r w:rsidRPr="00D5166F">
        <w:rPr>
          <w:snapToGrid w:val="0"/>
          <w:sz w:val="28"/>
          <w:szCs w:val="28"/>
        </w:rPr>
        <w:t xml:space="preserve">Ủy ban </w:t>
      </w:r>
      <w:r w:rsidRPr="00D5166F">
        <w:rPr>
          <w:sz w:val="28"/>
          <w:szCs w:val="28"/>
        </w:rPr>
        <w:t>bầu cử ở cấp tương ứng (đối với bầu cử đại biểu Hội đồng nhân dân) quyết định xóa tên người đó trong danh sách chính thức những người ứng cử trước ngày bầu cử và thông báo cho cử tri biết.</w:t>
      </w:r>
    </w:p>
    <w:p w:rsidR="00390B55" w:rsidRPr="00D5166F" w:rsidRDefault="00390B55" w:rsidP="00390B55">
      <w:pPr>
        <w:widowControl w:val="0"/>
        <w:spacing w:before="120" w:after="120" w:line="340" w:lineRule="exact"/>
        <w:ind w:firstLine="720"/>
        <w:jc w:val="both"/>
        <w:rPr>
          <w:sz w:val="28"/>
          <w:szCs w:val="28"/>
          <w:shd w:val="clear" w:color="auto" w:fill="FFFFFF"/>
        </w:rPr>
      </w:pPr>
      <w:r w:rsidRPr="00D5166F">
        <w:rPr>
          <w:sz w:val="28"/>
          <w:szCs w:val="28"/>
        </w:rPr>
        <w:t xml:space="preserve">Hội đồng bầu cử quốc gia, </w:t>
      </w:r>
      <w:r w:rsidRPr="00D5166F">
        <w:rPr>
          <w:sz w:val="28"/>
          <w:szCs w:val="28"/>
          <w:shd w:val="clear" w:color="auto" w:fill="FFFFFF"/>
        </w:rPr>
        <w:t>Ủy ban</w:t>
      </w:r>
      <w:r w:rsidRPr="00D5166F">
        <w:rPr>
          <w:sz w:val="28"/>
          <w:szCs w:val="28"/>
        </w:rPr>
        <w:t xml:space="preserve"> bầu cử ở cấp tỉnh, </w:t>
      </w:r>
      <w:r w:rsidRPr="00D5166F">
        <w:rPr>
          <w:sz w:val="28"/>
          <w:szCs w:val="28"/>
          <w:shd w:val="clear" w:color="auto" w:fill="FFFFFF"/>
        </w:rPr>
        <w:t>Ủy ban</w:t>
      </w:r>
      <w:r w:rsidRPr="00D5166F">
        <w:rPr>
          <w:sz w:val="28"/>
          <w:szCs w:val="28"/>
        </w:rPr>
        <w:t xml:space="preserve"> bầu cử ở cấp huyện, </w:t>
      </w:r>
      <w:r w:rsidRPr="00D5166F">
        <w:rPr>
          <w:sz w:val="28"/>
          <w:szCs w:val="28"/>
          <w:shd w:val="clear" w:color="auto" w:fill="FFFFFF"/>
        </w:rPr>
        <w:t>Ủy ban</w:t>
      </w:r>
      <w:r w:rsidRPr="00D5166F">
        <w:rPr>
          <w:sz w:val="28"/>
          <w:szCs w:val="28"/>
        </w:rPr>
        <w:t xml:space="preserve"> bầu cử ở cấp xã chuyển toàn bộ hồ sơ về khiếu nại, tố cáo chưa được giải quyết đến </w:t>
      </w:r>
      <w:r w:rsidRPr="00D5166F">
        <w:rPr>
          <w:sz w:val="28"/>
          <w:szCs w:val="28"/>
          <w:shd w:val="clear" w:color="auto" w:fill="FFFFFF"/>
        </w:rPr>
        <w:t>Ủy ban Thường vụ</w:t>
      </w:r>
      <w:r w:rsidRPr="00D5166F">
        <w:rPr>
          <w:sz w:val="28"/>
          <w:szCs w:val="28"/>
        </w:rPr>
        <w:t xml:space="preserve"> Quốc hội khóa XV (đối với bầu cử đại biểu Quốc hội) hoặc Thường trực Hội đồng nhân dân nhiệm kỳ 2021 – 2026 ở cấp tương ứng (đối </w:t>
      </w:r>
      <w:r w:rsidRPr="00D5166F">
        <w:rPr>
          <w:sz w:val="28"/>
          <w:szCs w:val="28"/>
          <w:shd w:val="clear" w:color="auto" w:fill="FFFFFF"/>
        </w:rPr>
        <w:t>với</w:t>
      </w:r>
      <w:r w:rsidRPr="00D5166F">
        <w:rPr>
          <w:sz w:val="28"/>
          <w:szCs w:val="28"/>
        </w:rPr>
        <w:t xml:space="preserve"> bầu cử đại biểu Hội đồng nhân dân) để tiếp tục xem xét, giải quyết theo thẩm quyền.</w:t>
      </w:r>
    </w:p>
    <w:p w:rsidR="00390B55" w:rsidRPr="00D5166F" w:rsidRDefault="00390B55" w:rsidP="00390B55">
      <w:pPr>
        <w:pStyle w:val="Heading2"/>
      </w:pPr>
      <w:bookmarkStart w:id="19" w:name="_Toc63100146"/>
      <w:bookmarkStart w:id="20" w:name="_Toc64898139"/>
      <w:r w:rsidRPr="00D5166F">
        <w:lastRenderedPageBreak/>
        <w:t xml:space="preserve">Các trường hợp nào bị xóa tên trong Danh sách chính thức những người ứng cử đại biểu Quốc hội, </w:t>
      </w:r>
      <w:r>
        <w:t xml:space="preserve">ứng cử </w:t>
      </w:r>
      <w:r w:rsidRPr="00D5166F">
        <w:t>đại biểu Hội đồng nhân dân?</w:t>
      </w:r>
      <w:bookmarkEnd w:id="19"/>
      <w:bookmarkEnd w:id="20"/>
    </w:p>
    <w:p w:rsidR="00390B55" w:rsidRPr="00D5166F" w:rsidRDefault="00390B55" w:rsidP="00390B55">
      <w:pPr>
        <w:widowControl w:val="0"/>
        <w:overflowPunct w:val="0"/>
        <w:spacing w:before="120" w:after="120" w:line="340" w:lineRule="exact"/>
        <w:ind w:firstLine="697"/>
        <w:jc w:val="both"/>
        <w:textAlignment w:val="baseline"/>
        <w:rPr>
          <w:sz w:val="28"/>
          <w:szCs w:val="28"/>
        </w:rPr>
      </w:pPr>
      <w:r w:rsidRPr="00D5166F">
        <w:rPr>
          <w:sz w:val="28"/>
          <w:szCs w:val="28"/>
        </w:rPr>
        <w:t xml:space="preserve">Người có tên trong Danh sách chính thức những người ứng cử đại biểu Quốc hội đã được Hội đồng bầu cử quốc gia công bố mà đến thời điểm bắt đầu bỏ phiếu bị khởi tố bị can, bị bắt, giữ vì phạm tội quả tang, bị mất năng lực hành vi dân sự, chết hoặc vi phạm nghiêm trọng pháp luật về bầu cử thì Hội đồng bầu cử quốc gia xóa tên người đó trong Danh sách </w:t>
      </w:r>
      <w:r>
        <w:rPr>
          <w:sz w:val="28"/>
          <w:szCs w:val="28"/>
        </w:rPr>
        <w:t>chính</w:t>
      </w:r>
      <w:r w:rsidRPr="00D5166F">
        <w:rPr>
          <w:sz w:val="28"/>
          <w:szCs w:val="28"/>
        </w:rPr>
        <w:t xml:space="preserve"> thức những người ứng cử đại biểu Quốc hội.</w:t>
      </w:r>
    </w:p>
    <w:p w:rsidR="00390B55" w:rsidRPr="00D5166F" w:rsidRDefault="00390B55" w:rsidP="00390B55">
      <w:pPr>
        <w:widowControl w:val="0"/>
        <w:overflowPunct w:val="0"/>
        <w:spacing w:before="120" w:after="120" w:line="340" w:lineRule="exact"/>
        <w:ind w:firstLine="697"/>
        <w:jc w:val="both"/>
        <w:textAlignment w:val="baseline"/>
        <w:rPr>
          <w:sz w:val="28"/>
          <w:szCs w:val="28"/>
        </w:rPr>
      </w:pPr>
      <w:r w:rsidRPr="00D5166F">
        <w:rPr>
          <w:sz w:val="28"/>
          <w:szCs w:val="28"/>
        </w:rPr>
        <w:t xml:space="preserve">Người có tên trong Danh sách chính thức những người ứng cử đại biểu Hội đồng nhân dân đã được Ủy ban bầu cử công bố mà đến thời điểm bắt đầu bỏ phiếu bị khởi tố bị can, bị bắt, giữ vì phạm tội quả tang, bị mất năng lực hành vi dân sự, chết hoặc vi phạm nghiêm trọng pháp luật về bầu cử thì Ủy ban bầu cử, sau khi thống nhất ý kiến với Ban </w:t>
      </w:r>
      <w:r>
        <w:rPr>
          <w:sz w:val="28"/>
          <w:szCs w:val="28"/>
        </w:rPr>
        <w:t>T</w:t>
      </w:r>
      <w:r w:rsidRPr="00D5166F">
        <w:rPr>
          <w:sz w:val="28"/>
          <w:szCs w:val="28"/>
        </w:rPr>
        <w:t>hường trực Ủy ban Mặt trận Tổ quốc Việt Nam cùng cấp, quyết định xóa tên người đó trong Danh sách chính thức những người ứng cử đại biểu Hội đồng nhân dân ở cấp mình.</w:t>
      </w:r>
    </w:p>
    <w:p w:rsidR="00E1003D" w:rsidRDefault="004258FD" w:rsidP="002B2685">
      <w:pPr>
        <w:widowControl w:val="0"/>
        <w:spacing w:before="120" w:after="120" w:line="340" w:lineRule="exact"/>
        <w:ind w:firstLine="720"/>
        <w:jc w:val="both"/>
        <w:textAlignment w:val="baseline"/>
      </w:pPr>
      <w:r>
        <w:tab/>
      </w:r>
      <w:r>
        <w:tab/>
      </w:r>
      <w:r>
        <w:tab/>
      </w:r>
      <w:r>
        <w:tab/>
      </w:r>
      <w:r w:rsidR="006229DD">
        <w:tab/>
      </w:r>
      <w:r w:rsidR="006229DD">
        <w:tab/>
      </w:r>
      <w:r w:rsidR="006229DD">
        <w:tab/>
      </w:r>
      <w:r w:rsidR="006229DD">
        <w:tab/>
      </w:r>
      <w:r w:rsidR="008B1C4E">
        <w:t>Nguồn: quochoi.vn</w:t>
      </w:r>
    </w:p>
    <w:sectPr w:rsidR="00E100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0A1" w:rsidRDefault="005720A1" w:rsidP="00390B55">
      <w:r>
        <w:separator/>
      </w:r>
    </w:p>
  </w:endnote>
  <w:endnote w:type="continuationSeparator" w:id="0">
    <w:p w:rsidR="005720A1" w:rsidRDefault="005720A1" w:rsidP="00390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0A1" w:rsidRDefault="005720A1" w:rsidP="00390B55">
      <w:r>
        <w:separator/>
      </w:r>
    </w:p>
  </w:footnote>
  <w:footnote w:type="continuationSeparator" w:id="0">
    <w:p w:rsidR="005720A1" w:rsidRDefault="005720A1" w:rsidP="00390B55">
      <w:r>
        <w:continuationSeparator/>
      </w:r>
    </w:p>
  </w:footnote>
  <w:footnote w:id="1">
    <w:p w:rsidR="00390B55" w:rsidRPr="00D42D21" w:rsidRDefault="00390B55" w:rsidP="00390B55">
      <w:pPr>
        <w:pStyle w:val="FootnoteText"/>
        <w:jc w:val="both"/>
        <w:rPr>
          <w:spacing w:val="0"/>
        </w:rPr>
      </w:pPr>
      <w:r w:rsidRPr="00D42D21">
        <w:rPr>
          <w:rStyle w:val="FootnoteReference"/>
          <w:spacing w:val="0"/>
        </w:rPr>
        <w:footnoteRef/>
      </w:r>
      <w:r w:rsidRPr="00D42D21">
        <w:rPr>
          <w:spacing w:val="0"/>
        </w:rPr>
        <w:t xml:space="preserve"> Tại thời điểm ra sách này, Hội đồng bầu cử quốc gia chưa có hướng dẫn cụ thể về nội dung này cho cuộc bầu cử đại biểu Quốc hội khóa XV và đại biểu Hội đồng nhân dân nhiệm kỳ 2021-2026.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47A85"/>
    <w:multiLevelType w:val="hybridMultilevel"/>
    <w:tmpl w:val="DD64CD5A"/>
    <w:lvl w:ilvl="0" w:tplc="3EFA8230">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0A95624"/>
    <w:multiLevelType w:val="hybridMultilevel"/>
    <w:tmpl w:val="D716F3CA"/>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
    <w:nsid w:val="4778031F"/>
    <w:multiLevelType w:val="hybridMultilevel"/>
    <w:tmpl w:val="245A1AD0"/>
    <w:lvl w:ilvl="0" w:tplc="21EA5734">
      <w:start w:val="1"/>
      <w:numFmt w:val="decimal"/>
      <w:pStyle w:val="Heading2"/>
      <w:lvlText w:val="Câu %1."/>
      <w:lvlJc w:val="left"/>
      <w:pPr>
        <w:ind w:left="3054" w:hanging="360"/>
      </w:pPr>
      <w:rPr>
        <w:rFonts w:hint="default"/>
      </w:rPr>
    </w:lvl>
    <w:lvl w:ilvl="1" w:tplc="04090019" w:tentative="1">
      <w:start w:val="1"/>
      <w:numFmt w:val="lowerLetter"/>
      <w:lvlText w:val="%2."/>
      <w:lvlJc w:val="left"/>
      <w:pPr>
        <w:ind w:left="3054" w:hanging="360"/>
      </w:pPr>
    </w:lvl>
    <w:lvl w:ilvl="2" w:tplc="0409001B" w:tentative="1">
      <w:start w:val="1"/>
      <w:numFmt w:val="lowerRoman"/>
      <w:lvlText w:val="%3."/>
      <w:lvlJc w:val="right"/>
      <w:pPr>
        <w:ind w:left="3774" w:hanging="180"/>
      </w:pPr>
    </w:lvl>
    <w:lvl w:ilvl="3" w:tplc="0409000F" w:tentative="1">
      <w:start w:val="1"/>
      <w:numFmt w:val="decimal"/>
      <w:lvlText w:val="%4."/>
      <w:lvlJc w:val="left"/>
      <w:pPr>
        <w:ind w:left="4494" w:hanging="360"/>
      </w:pPr>
    </w:lvl>
    <w:lvl w:ilvl="4" w:tplc="04090019" w:tentative="1">
      <w:start w:val="1"/>
      <w:numFmt w:val="lowerLetter"/>
      <w:lvlText w:val="%5."/>
      <w:lvlJc w:val="left"/>
      <w:pPr>
        <w:ind w:left="5214" w:hanging="360"/>
      </w:pPr>
    </w:lvl>
    <w:lvl w:ilvl="5" w:tplc="0409001B" w:tentative="1">
      <w:start w:val="1"/>
      <w:numFmt w:val="lowerRoman"/>
      <w:lvlText w:val="%6."/>
      <w:lvlJc w:val="right"/>
      <w:pPr>
        <w:ind w:left="5934" w:hanging="180"/>
      </w:pPr>
    </w:lvl>
    <w:lvl w:ilvl="6" w:tplc="0409000F" w:tentative="1">
      <w:start w:val="1"/>
      <w:numFmt w:val="decimal"/>
      <w:lvlText w:val="%7."/>
      <w:lvlJc w:val="left"/>
      <w:pPr>
        <w:ind w:left="6654" w:hanging="360"/>
      </w:pPr>
    </w:lvl>
    <w:lvl w:ilvl="7" w:tplc="04090019" w:tentative="1">
      <w:start w:val="1"/>
      <w:numFmt w:val="lowerLetter"/>
      <w:lvlText w:val="%8."/>
      <w:lvlJc w:val="left"/>
      <w:pPr>
        <w:ind w:left="7374" w:hanging="360"/>
      </w:pPr>
    </w:lvl>
    <w:lvl w:ilvl="8" w:tplc="0409001B" w:tentative="1">
      <w:start w:val="1"/>
      <w:numFmt w:val="lowerRoman"/>
      <w:lvlText w:val="%9."/>
      <w:lvlJc w:val="right"/>
      <w:pPr>
        <w:ind w:left="809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1FB"/>
    <w:rsid w:val="000833D1"/>
    <w:rsid w:val="00097480"/>
    <w:rsid w:val="000B2479"/>
    <w:rsid w:val="000D3BBC"/>
    <w:rsid w:val="000F7C49"/>
    <w:rsid w:val="00125680"/>
    <w:rsid w:val="00126002"/>
    <w:rsid w:val="001376F8"/>
    <w:rsid w:val="00165B6E"/>
    <w:rsid w:val="001939C6"/>
    <w:rsid w:val="001D0D15"/>
    <w:rsid w:val="002B2685"/>
    <w:rsid w:val="00390B55"/>
    <w:rsid w:val="0040569E"/>
    <w:rsid w:val="004258FD"/>
    <w:rsid w:val="004264C4"/>
    <w:rsid w:val="004324C8"/>
    <w:rsid w:val="00460A16"/>
    <w:rsid w:val="00495610"/>
    <w:rsid w:val="004B7945"/>
    <w:rsid w:val="005720A1"/>
    <w:rsid w:val="005C157A"/>
    <w:rsid w:val="005E08E9"/>
    <w:rsid w:val="006211FB"/>
    <w:rsid w:val="006229DD"/>
    <w:rsid w:val="0068108B"/>
    <w:rsid w:val="006E5D97"/>
    <w:rsid w:val="00704ADB"/>
    <w:rsid w:val="00706750"/>
    <w:rsid w:val="0078412C"/>
    <w:rsid w:val="007956AE"/>
    <w:rsid w:val="0081598F"/>
    <w:rsid w:val="008B1AEA"/>
    <w:rsid w:val="008B1C4E"/>
    <w:rsid w:val="008B4911"/>
    <w:rsid w:val="008B7BA0"/>
    <w:rsid w:val="008F31F4"/>
    <w:rsid w:val="00914FCE"/>
    <w:rsid w:val="00955D9B"/>
    <w:rsid w:val="0096298E"/>
    <w:rsid w:val="0097448C"/>
    <w:rsid w:val="009E64C7"/>
    <w:rsid w:val="00A0297F"/>
    <w:rsid w:val="00A04E49"/>
    <w:rsid w:val="00A2401F"/>
    <w:rsid w:val="00A300F4"/>
    <w:rsid w:val="00A8550C"/>
    <w:rsid w:val="00AC6C36"/>
    <w:rsid w:val="00AC7613"/>
    <w:rsid w:val="00AF1D18"/>
    <w:rsid w:val="00B841A5"/>
    <w:rsid w:val="00C35FD7"/>
    <w:rsid w:val="00C60374"/>
    <w:rsid w:val="00C824E3"/>
    <w:rsid w:val="00C92897"/>
    <w:rsid w:val="00CC3336"/>
    <w:rsid w:val="00DA1F2A"/>
    <w:rsid w:val="00DA71A2"/>
    <w:rsid w:val="00DB7E25"/>
    <w:rsid w:val="00E00CAD"/>
    <w:rsid w:val="00E1003D"/>
    <w:rsid w:val="00E14F4E"/>
    <w:rsid w:val="00E40034"/>
    <w:rsid w:val="00E601A6"/>
    <w:rsid w:val="00E818AD"/>
    <w:rsid w:val="00E839A1"/>
    <w:rsid w:val="00EA55FE"/>
    <w:rsid w:val="00EB0C08"/>
    <w:rsid w:val="00EE032C"/>
    <w:rsid w:val="00F13B90"/>
    <w:rsid w:val="00F63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FCE"/>
    <w:pPr>
      <w:spacing w:after="0" w:line="240" w:lineRule="auto"/>
    </w:pPr>
    <w:rPr>
      <w:rFonts w:eastAsia="Times New Roman" w:cs="Times New Roman"/>
      <w:sz w:val="24"/>
      <w:szCs w:val="24"/>
    </w:rPr>
  </w:style>
  <w:style w:type="paragraph" w:styleId="Heading2">
    <w:name w:val="heading 2"/>
    <w:basedOn w:val="Normal"/>
    <w:next w:val="Normal"/>
    <w:link w:val="Heading2Char"/>
    <w:autoRedefine/>
    <w:qFormat/>
    <w:rsid w:val="00914FCE"/>
    <w:pPr>
      <w:widowControl w:val="0"/>
      <w:numPr>
        <w:numId w:val="1"/>
      </w:numPr>
      <w:tabs>
        <w:tab w:val="left" w:pos="1701"/>
      </w:tabs>
      <w:spacing w:before="120" w:after="120" w:line="340" w:lineRule="exact"/>
      <w:ind w:left="0" w:firstLine="709"/>
      <w:jc w:val="both"/>
      <w:outlineLvl w:val="1"/>
    </w:pPr>
    <w:rPr>
      <w:rFonts w:ascii="Times New Roman Bold" w:hAnsi="Times New Roman Bold"/>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4FCE"/>
    <w:rPr>
      <w:rFonts w:ascii="Times New Roman Bold" w:eastAsia="Times New Roman" w:hAnsi="Times New Roman Bold" w:cs="Times New Roman"/>
      <w:b/>
      <w:bCs/>
      <w:iCs/>
      <w:szCs w:val="28"/>
    </w:rPr>
  </w:style>
  <w:style w:type="character" w:customStyle="1" w:styleId="normal-h1">
    <w:name w:val="normal-h1"/>
    <w:rsid w:val="00E00CAD"/>
    <w:rPr>
      <w:rFonts w:ascii="Times New Roman" w:hAnsi="Times New Roman" w:cs="Times New Roman"/>
      <w:color w:val="0000FF"/>
      <w:sz w:val="24"/>
      <w:szCs w:val="24"/>
    </w:rPr>
  </w:style>
  <w:style w:type="character" w:customStyle="1" w:styleId="normal-h">
    <w:name w:val="normal-h"/>
    <w:basedOn w:val="DefaultParagraphFont"/>
    <w:rsid w:val="00E00CAD"/>
  </w:style>
  <w:style w:type="paragraph" w:styleId="NormalWeb">
    <w:name w:val="Normal (Web)"/>
    <w:basedOn w:val="Normal"/>
    <w:uiPriority w:val="99"/>
    <w:rsid w:val="0078412C"/>
    <w:pPr>
      <w:spacing w:before="100" w:beforeAutospacing="1" w:after="100" w:afterAutospacing="1"/>
    </w:pPr>
  </w:style>
  <w:style w:type="paragraph" w:customStyle="1" w:styleId="n-dieund">
    <w:name w:val="n-dieund"/>
    <w:basedOn w:val="Normal"/>
    <w:uiPriority w:val="99"/>
    <w:rsid w:val="00390B55"/>
    <w:pPr>
      <w:spacing w:after="120"/>
      <w:ind w:firstLine="709"/>
      <w:jc w:val="both"/>
    </w:pPr>
    <w:rPr>
      <w:sz w:val="28"/>
      <w:szCs w:val="28"/>
    </w:rPr>
  </w:style>
  <w:style w:type="paragraph" w:styleId="FootnoteText">
    <w:name w:val="footnote text"/>
    <w:basedOn w:val="Normal"/>
    <w:link w:val="FootnoteTextChar"/>
    <w:semiHidden/>
    <w:rsid w:val="00390B55"/>
    <w:rPr>
      <w:spacing w:val="10"/>
      <w:sz w:val="20"/>
      <w:szCs w:val="20"/>
    </w:rPr>
  </w:style>
  <w:style w:type="character" w:customStyle="1" w:styleId="FootnoteTextChar">
    <w:name w:val="Footnote Text Char"/>
    <w:basedOn w:val="DefaultParagraphFont"/>
    <w:link w:val="FootnoteText"/>
    <w:semiHidden/>
    <w:rsid w:val="00390B55"/>
    <w:rPr>
      <w:rFonts w:eastAsia="Times New Roman" w:cs="Times New Roman"/>
      <w:spacing w:val="10"/>
      <w:sz w:val="20"/>
      <w:szCs w:val="20"/>
    </w:rPr>
  </w:style>
  <w:style w:type="character" w:styleId="FootnoteReference">
    <w:name w:val="footnote reference"/>
    <w:semiHidden/>
    <w:rsid w:val="00390B5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FCE"/>
    <w:pPr>
      <w:spacing w:after="0" w:line="240" w:lineRule="auto"/>
    </w:pPr>
    <w:rPr>
      <w:rFonts w:eastAsia="Times New Roman" w:cs="Times New Roman"/>
      <w:sz w:val="24"/>
      <w:szCs w:val="24"/>
    </w:rPr>
  </w:style>
  <w:style w:type="paragraph" w:styleId="Heading2">
    <w:name w:val="heading 2"/>
    <w:basedOn w:val="Normal"/>
    <w:next w:val="Normal"/>
    <w:link w:val="Heading2Char"/>
    <w:autoRedefine/>
    <w:qFormat/>
    <w:rsid w:val="00914FCE"/>
    <w:pPr>
      <w:widowControl w:val="0"/>
      <w:numPr>
        <w:numId w:val="1"/>
      </w:numPr>
      <w:tabs>
        <w:tab w:val="left" w:pos="1701"/>
      </w:tabs>
      <w:spacing w:before="120" w:after="120" w:line="340" w:lineRule="exact"/>
      <w:ind w:left="0" w:firstLine="709"/>
      <w:jc w:val="both"/>
      <w:outlineLvl w:val="1"/>
    </w:pPr>
    <w:rPr>
      <w:rFonts w:ascii="Times New Roman Bold" w:hAnsi="Times New Roman Bold"/>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4FCE"/>
    <w:rPr>
      <w:rFonts w:ascii="Times New Roman Bold" w:eastAsia="Times New Roman" w:hAnsi="Times New Roman Bold" w:cs="Times New Roman"/>
      <w:b/>
      <w:bCs/>
      <w:iCs/>
      <w:szCs w:val="28"/>
    </w:rPr>
  </w:style>
  <w:style w:type="character" w:customStyle="1" w:styleId="normal-h1">
    <w:name w:val="normal-h1"/>
    <w:rsid w:val="00E00CAD"/>
    <w:rPr>
      <w:rFonts w:ascii="Times New Roman" w:hAnsi="Times New Roman" w:cs="Times New Roman"/>
      <w:color w:val="0000FF"/>
      <w:sz w:val="24"/>
      <w:szCs w:val="24"/>
    </w:rPr>
  </w:style>
  <w:style w:type="character" w:customStyle="1" w:styleId="normal-h">
    <w:name w:val="normal-h"/>
    <w:basedOn w:val="DefaultParagraphFont"/>
    <w:rsid w:val="00E00CAD"/>
  </w:style>
  <w:style w:type="paragraph" w:styleId="NormalWeb">
    <w:name w:val="Normal (Web)"/>
    <w:basedOn w:val="Normal"/>
    <w:uiPriority w:val="99"/>
    <w:rsid w:val="0078412C"/>
    <w:pPr>
      <w:spacing w:before="100" w:beforeAutospacing="1" w:after="100" w:afterAutospacing="1"/>
    </w:pPr>
  </w:style>
  <w:style w:type="paragraph" w:customStyle="1" w:styleId="n-dieund">
    <w:name w:val="n-dieund"/>
    <w:basedOn w:val="Normal"/>
    <w:uiPriority w:val="99"/>
    <w:rsid w:val="00390B55"/>
    <w:pPr>
      <w:spacing w:after="120"/>
      <w:ind w:firstLine="709"/>
      <w:jc w:val="both"/>
    </w:pPr>
    <w:rPr>
      <w:sz w:val="28"/>
      <w:szCs w:val="28"/>
    </w:rPr>
  </w:style>
  <w:style w:type="paragraph" w:styleId="FootnoteText">
    <w:name w:val="footnote text"/>
    <w:basedOn w:val="Normal"/>
    <w:link w:val="FootnoteTextChar"/>
    <w:semiHidden/>
    <w:rsid w:val="00390B55"/>
    <w:rPr>
      <w:spacing w:val="10"/>
      <w:sz w:val="20"/>
      <w:szCs w:val="20"/>
    </w:rPr>
  </w:style>
  <w:style w:type="character" w:customStyle="1" w:styleId="FootnoteTextChar">
    <w:name w:val="Footnote Text Char"/>
    <w:basedOn w:val="DefaultParagraphFont"/>
    <w:link w:val="FootnoteText"/>
    <w:semiHidden/>
    <w:rsid w:val="00390B55"/>
    <w:rPr>
      <w:rFonts w:eastAsia="Times New Roman" w:cs="Times New Roman"/>
      <w:spacing w:val="10"/>
      <w:sz w:val="20"/>
      <w:szCs w:val="20"/>
    </w:rPr>
  </w:style>
  <w:style w:type="character" w:styleId="FootnoteReference">
    <w:name w:val="footnote reference"/>
    <w:semiHidden/>
    <w:rsid w:val="00390B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1487</Words>
  <Characters>8480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User</dc:creator>
  <cp:lastModifiedBy>HI</cp:lastModifiedBy>
  <cp:revision>2</cp:revision>
  <dcterms:created xsi:type="dcterms:W3CDTF">2021-04-29T03:58:00Z</dcterms:created>
  <dcterms:modified xsi:type="dcterms:W3CDTF">2021-04-29T03:58:00Z</dcterms:modified>
</cp:coreProperties>
</file>