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E14F4E">
        <w:rPr>
          <w:b/>
          <w:sz w:val="32"/>
          <w:szCs w:val="32"/>
        </w:rPr>
        <w:t>9</w:t>
      </w:r>
      <w:r w:rsidR="00E818AD">
        <w:rPr>
          <w:b/>
          <w:sz w:val="32"/>
          <w:szCs w:val="32"/>
        </w:rPr>
        <w:t>)</w:t>
      </w:r>
    </w:p>
    <w:p w:rsidR="00EA55FE" w:rsidRDefault="00EA55FE" w:rsidP="00914FCE"/>
    <w:p w:rsidR="005C157A" w:rsidRPr="00D5166F" w:rsidRDefault="00E00CAD" w:rsidP="005C157A">
      <w:pPr>
        <w:pStyle w:val="Heading2"/>
      </w:pPr>
      <w:bookmarkStart w:id="3" w:name="_Hlk59629173"/>
      <w:bookmarkEnd w:id="0"/>
      <w:bookmarkEnd w:id="1"/>
      <w:bookmarkEnd w:id="2"/>
      <w:r>
        <w:t xml:space="preserve"> </w:t>
      </w:r>
      <w:bookmarkStart w:id="4" w:name="_Toc63100074"/>
      <w:bookmarkStart w:id="5" w:name="_Toc64898068"/>
      <w:r w:rsidR="005C157A" w:rsidRPr="00D5166F">
        <w:t>Ủy ban bầu cử ở huyện, quận, thị xã, thành phố thuộc tỉnh, thành phố thuộc thành phố trực thuộc trung ương, Ủy ban bầu cử ở xã, phường, thị trấn được thành lập như thế nào?</w:t>
      </w:r>
      <w:bookmarkEnd w:id="4"/>
      <w:bookmarkEnd w:id="5"/>
      <w:r w:rsidR="005C157A" w:rsidRPr="00D5166F">
        <w:t xml:space="preserve"> </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Ủy ban bầu cử ở huyện, quận, thị xã, thành phố thuộc tỉnh, thành phố thuộc thành phố trực thuộc trung ương</w:t>
      </w:r>
      <w:r>
        <w:rPr>
          <w:sz w:val="28"/>
          <w:szCs w:val="28"/>
        </w:rPr>
        <w:t>, xã, phường, thị trấn</w:t>
      </w:r>
      <w:r w:rsidRPr="00D5166F">
        <w:rPr>
          <w:sz w:val="28"/>
          <w:szCs w:val="28"/>
        </w:rPr>
        <w:t xml:space="preserve"> được thành lập để tổ chức bầu cử đại biểu Hội đồng nhân dân cấp huyện, cấp xã tương ứng trên địa bàn.</w:t>
      </w:r>
    </w:p>
    <w:p w:rsidR="005C157A" w:rsidRPr="00D5166F" w:rsidRDefault="005C157A" w:rsidP="005C157A">
      <w:pPr>
        <w:widowControl w:val="0"/>
        <w:spacing w:before="120" w:after="120" w:line="340" w:lineRule="exact"/>
        <w:ind w:firstLine="709"/>
        <w:jc w:val="both"/>
        <w:rPr>
          <w:sz w:val="28"/>
          <w:szCs w:val="28"/>
        </w:rPr>
      </w:pPr>
      <w:r w:rsidRPr="00D5166F">
        <w:rPr>
          <w:b/>
          <w:i/>
          <w:sz w:val="28"/>
          <w:szCs w:val="28"/>
        </w:rPr>
        <w:t>Chậm nhất là ngày 07 tháng 2 năm 2021</w:t>
      </w:r>
      <w:r w:rsidRPr="00D5166F">
        <w:rPr>
          <w:sz w:val="28"/>
          <w:szCs w:val="28"/>
        </w:rPr>
        <w:t xml:space="preserve"> (105 ngày trước ngày bầu cử), Ủy ban nhân dân cấp huyện, Ủy ban nhân dân cấp xã sau khi thống nhất với Thường trực Hội đồng nhân dân và Ban Thường trực Ủy ban Mặt trận Tổ quốc Việt Nam cùng cấp quyết định thành lập Ủy ban bầu cử ở huyện, quận, thị xã, thành phố thuộc tỉnh, thành phố thuộc thành phố trực thuộc trung ương, Ủy ban bầu cử ở xã, phường, thị trấn.</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Ủy ban bầu cử ở cấp huyện có từ 11 đến 15 thành viên; Ủy ban bầu cử ở cấp xã có từ 09 đến 11 thành viên. Thành viên Ủy ban bầu cử ở cấp huyện, cấp xã gồm Chủ tịch, các Phó Chủ tịch và các Ủy viên là đại diện Thường trực Hội đồng nhân dân, Ủy ban nhân dân, Ủy ban Mặt trận Tổ quốc Việt Nam cùng cấp và một số cơ quan, tổ chức hữu quan.</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Danh sách Ủy ban bầu cử ở cấp huyện, Ủy ban bầu cử ở cấp xã phải được gửi đến Thường trực Hội đồng nhân dân, Ủy ban nhân dân và Ban Thường trực Ủy ban Mặt trận Tổ quốc Việt Nam cấp trên trực tiếp.</w:t>
      </w:r>
    </w:p>
    <w:p w:rsidR="005C157A" w:rsidRPr="00D5166F" w:rsidRDefault="005C157A" w:rsidP="005C157A">
      <w:pPr>
        <w:pStyle w:val="Heading2"/>
      </w:pPr>
      <w:bookmarkStart w:id="6" w:name="_Toc63100075"/>
      <w:bookmarkStart w:id="7" w:name="_Toc64898069"/>
      <w:r w:rsidRPr="00D5166F">
        <w:t>Trong việc bầu cử đại biểu Quốc hội khóa XV, Ủy ban bầu cử ở cấp tỉnh có các nhiệm vụ, quyền hạn cụ thể nào?</w:t>
      </w:r>
      <w:bookmarkEnd w:id="6"/>
      <w:bookmarkEnd w:id="7"/>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Trong bầu cử đại biểu Quốc hội khóa XV, Ủy ban bầu cử ở cấp tỉnh có các nhiệm vụ, quyền hạn sau đây:</w:t>
      </w:r>
    </w:p>
    <w:p w:rsidR="005C157A" w:rsidRPr="00D5166F" w:rsidRDefault="005C157A" w:rsidP="005C157A">
      <w:pPr>
        <w:widowControl w:val="0"/>
        <w:spacing w:before="120" w:after="120" w:line="340" w:lineRule="exact"/>
        <w:ind w:firstLine="720"/>
        <w:jc w:val="both"/>
        <w:rPr>
          <w:sz w:val="28"/>
          <w:szCs w:val="28"/>
          <w:lang w:val="en-GB"/>
        </w:rPr>
      </w:pPr>
      <w:r w:rsidRPr="00D5166F">
        <w:rPr>
          <w:sz w:val="28"/>
          <w:szCs w:val="28"/>
        </w:rPr>
        <w:t>1. Chỉ đạo việc chuẩn bị và tổ chức bầu cử đại biểu Quốc hội khóa XV ở các đơn vị bầu cử đại biểu Quốc hội trên địa bàn tỉnh, thành phố trực thuộc trung ương; kiểm tra, đôn đốc việc thi hành pháp luật về bầu cử đại biểu Quốc hội của các Ban bầu cử đại biểu Quốc hội, Tổ bầu cử.</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lastRenderedPageBreak/>
        <w:t>2. Chỉ đạo thực hiện công tác thông tin, tuyên truyền và vận động bầu cử đại biểu Quốc hội ở địa phương.</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3. Chỉ đạo thực hiện công tác bảo vệ an ninh, trật tự, an toàn xã hội trong cuộc bầu cử đại biểu Quốc hội khóa XV ở địa phương.</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4. Nhận và xem xét hồ sơ của người được tổ chức chính trị, tổ chức chính trị - xã hội, tổ chức xã hội, đơn vị vũ trang nhân dân, cơ quan nhà nước, đơn vị sự nghiệp, tổ chức kinh tế ở địa phương giới thiệu ứng cử đại biểu Quốc hội khóa XV và hồ sơ của người tự ứng cử đại biểu Quốc hội khóa XV tại địa phương; gửi danh sách trích ngang lý lịch, bản sao tiểu sử tóm tắt và bản kê khai tài sản, thu nhập của những người được giới thiệu ứng cử và những người tự ứng cử đại biểu Quốc hội khóa XV đến Ban Thường trực Ủy ban Mặt trận Tổ quốc Việt Nam cấp tỉnh để tiến hành hiệp thương; gửi hồ sơ và danh sách người ứng cử đại biểu Quốc hội khóa XV tại địa phương đến Hội đồng bầu cử quốc gia</w:t>
      </w:r>
      <w:r>
        <w:rPr>
          <w:sz w:val="28"/>
          <w:szCs w:val="28"/>
        </w:rPr>
        <w: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5. Lập danh sách những người ứng cử đại biểu Quốc hội khóa XV theo đơn vị bầu cử và báo cáo để Hội đồng bầu cử quốc gia quyết định</w:t>
      </w:r>
      <w:r>
        <w:rPr>
          <w:sz w:val="28"/>
          <w:szCs w:val="28"/>
        </w:rPr>
        <w: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6. Chỉ đạo, kiểm tra việc lập và niêm yết danh sách cử tri</w:t>
      </w:r>
      <w:r>
        <w:rPr>
          <w:sz w:val="28"/>
          <w:szCs w:val="28"/>
        </w:rPr>
        <w: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 xml:space="preserve">7. Nhận tài liệu, phiếu bầu cử đại biểu Quốc hội khóa XV từ Ủy ban nhân dân cấp tỉnh và phân phối cho các Ban bầu cử đại biểu Quốc hội </w:t>
      </w:r>
      <w:r w:rsidRPr="00D5166F">
        <w:rPr>
          <w:b/>
          <w:i/>
          <w:sz w:val="28"/>
          <w:szCs w:val="28"/>
        </w:rPr>
        <w:t>chậm nhất là ngày 27 tháng 4 năm 2021</w:t>
      </w:r>
      <w:r w:rsidRPr="00D5166F">
        <w:rPr>
          <w:sz w:val="28"/>
          <w:szCs w:val="28"/>
        </w:rPr>
        <w:t xml:space="preserve"> (25 ngày trước ngày bầu cử)</w:t>
      </w:r>
      <w:r>
        <w:rPr>
          <w:sz w:val="28"/>
          <w:szCs w:val="28"/>
        </w:rPr>
        <w: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8.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r>
        <w:rPr>
          <w:sz w:val="28"/>
          <w:szCs w:val="28"/>
        </w:rPr>
        <w: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9. Nhận và kiểm tra biên bản xác định kết quả bầu cử đại biểu Quốc hội khóa XV của các Ban bầu cử đại biểu Quốc hội; lập biên bản xác định kết quả bầu cử đại biểu Quốc hội khóa XV ở địa phương</w:t>
      </w:r>
      <w:r>
        <w:rPr>
          <w:sz w:val="28"/>
          <w:szCs w:val="28"/>
        </w:rPr>
        <w: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10. Báo cáo tình hình tổ chức và tiến hành bầu cử đại biểu Quốc hội khóa XV theo yêu cầu của Hội đồng bầu cử quốc gia</w:t>
      </w:r>
      <w:r>
        <w:rPr>
          <w:sz w:val="28"/>
          <w:szCs w:val="28"/>
        </w:rPr>
        <w:t>.</w:t>
      </w:r>
      <w:r w:rsidRPr="00D5166F">
        <w:rPr>
          <w:sz w:val="28"/>
          <w:szCs w:val="28"/>
        </w:rPr>
        <w:tab/>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11. Chuyển hồ sơ, biên bản xác định kết quả bầu cử đại biểu Quốc hội khóa XV đến Hội đồng bầu cử quốc gia</w:t>
      </w:r>
      <w:r>
        <w:rPr>
          <w:sz w:val="28"/>
          <w:szCs w:val="28"/>
        </w:rPr>
        <w: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12. Tổ chức việc bầu cử thêm, bầu cử lại đại biểu Quốc hội theo quyết định của Hội đồng bầu cử quốc gia.</w:t>
      </w:r>
    </w:p>
    <w:p w:rsidR="005C157A" w:rsidRPr="00D5166F" w:rsidRDefault="005C157A" w:rsidP="005C157A">
      <w:pPr>
        <w:pStyle w:val="Heading2"/>
      </w:pPr>
      <w:bookmarkStart w:id="8" w:name="_Toc63100076"/>
      <w:bookmarkStart w:id="9" w:name="_Toc64898070"/>
      <w:r w:rsidRPr="00D5166F">
        <w:t>Trong việc bầu cử đại biểu Hội đồng nhân dân các cấp nhiệm kỳ 2021-2026, các Ủy ban bầu cử có các nhiệm vụ, quyền hạn cụ thể n</w:t>
      </w:r>
      <w:r>
        <w:t>à</w:t>
      </w:r>
      <w:r w:rsidRPr="00D5166F">
        <w:t>o?</w:t>
      </w:r>
      <w:bookmarkEnd w:id="8"/>
      <w:bookmarkEnd w:id="9"/>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lastRenderedPageBreak/>
        <w:t>Trong bầu cử đại biểu Hội đồng nhân dân nhiệm kỳ 2021-2026, Ủy ban bầu cử ở các cấp có các nhiệm vụ, quyền hạn sau đây:</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1. Chỉ đạo việc tổ chức bầu cử đại biểu Hội đồng nhân dân cấp mình nhiệm kỳ 2021-2026; kiểm tra, đôn đốc việc thi hành pháp luật về bầu cử đại biểu Hội đồng nhân dân.</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2. Quản lý và phân bổ kinh phí tổ chức bầu cử đại biểu Hội đồng nhân dân ở cấp mình.</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3. Chỉ đạo công tác thông tin, tuyên truyền và vận động bầu cử đại biểu Hội đồng nhân dân ở địa phương.</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4. Chỉ đạo thực hiện công tác bảo vệ an ninh, trật tự, an toàn xã hội trong cuộc bầu cử đại biểu Hội đồng nhân dân ở địa phương.</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5. Ấn định và công bố số đơn vị bầu cử, danh sách các đơn vị bầu cử và số lượng đại biểu Hội đồng nhân dân cấp mình được bầu của mỗi đơn vị bầu cử đại biểu Hội đồng nhân dân tương ứng.</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6. Nhận và xem xét hồ sơ của những người được tổ chức chính trị, tổ chức chính trị - xã hội, tổ chức xã hội, đơn vị vũ trang nhân dân, cơ quan nhà nước, đơn vị sự nghiệp, tổ chức kinh tế, thôn, tổ dân phố ở địa phương giới thiệu ứng cử và những người tự ứng cử đại biểu Hội đồng nhân dân cấp mình nhiệm kỳ 2021-2026; gửi danh sách trích ngang lý lịch, bản sao tiểu sử tóm tắt và bản kê khai tài sản, thu nhập của người được giới thiệu ứng cử và người tự ứng cử đại biểu Hội đồng nhân dân cấp mình nhiệm kỳ 2021-2026 đến Ban Thường trực Ủy ban Mặt trận Tổ quốc Việt Nam cùng cấp để tiến hành hiệp thương.</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7. Lập và công bố Danh sách chính thức những người ứng cử đại biểu Hội đồng nhân dân cấp mình nhiệm kỳ 2021-2026 theo từng đơn vị bầu cử đại biểu Hội đồng nhân dân; xóa tên người ứng cử trong Danh sách chính thức những người ứng cử đại biểu Hội đồng nhân dân cấp mình nhiệm kỳ 2021-2026 khi có các căn cứ theo quy định của luật.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 xml:space="preserve">8. Nhận tài liệu, phiếu bầu cử đại biểu Hội đồng nhân dân từ Ủy ban nhân dân cùng cấp và phân phối cho các Ban bầu cử đại biểu Hội đồng nhân dân cấp mình </w:t>
      </w:r>
      <w:r w:rsidRPr="00D5166F">
        <w:rPr>
          <w:b/>
          <w:i/>
          <w:sz w:val="28"/>
          <w:szCs w:val="28"/>
        </w:rPr>
        <w:t xml:space="preserve">chậm nhất là ngày 27 tháng 4 năm 2021 </w:t>
      </w:r>
      <w:r w:rsidRPr="00D5166F">
        <w:rPr>
          <w:sz w:val="28"/>
          <w:szCs w:val="28"/>
        </w:rPr>
        <w:t>(25 ngày trước ngày bầu cử).</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9. Nhận và kiểm tra biên bản xác định kết quả bầu cử đại biểu Hội đồng nhân dân cấp mình</w:t>
      </w:r>
      <w:r>
        <w:rPr>
          <w:sz w:val="28"/>
          <w:szCs w:val="28"/>
        </w:rPr>
        <w:t xml:space="preserve"> nhiệm kỳ 2021-2026</w:t>
      </w:r>
      <w:r w:rsidRPr="00D5166F">
        <w:rPr>
          <w:sz w:val="28"/>
          <w:szCs w:val="28"/>
        </w:rPr>
        <w:t xml:space="preserve"> ở từng đơn vị bầu cử do các Ban bầu cử gửi đến; lập biên bản tổng kết cuộc bầu cử đại biểu Hội đồng nhân dân của cấp mình.</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lastRenderedPageBreak/>
        <w:t>10. Chỉ đạo việc bầu cử thêm, bầu cử lại đại biểu Hội đồng nhân dân trong trường hợp cần thiết.</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11. Xác nhận và công bố kết quả bầu cử đại biểu Hội đồng nhân dân cấp mình nhiệm kỳ 2021-2026; xác nhận tư cách của người trúng cử đại biểu Hội đồng nhân dân.</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 xml:space="preserve">12. Trình Hội đồng nhân dân khóa mới ở cấp mình báo cáo tổng kết cuộc bầu cử đại biểu Hội đồng nhân dân nhiệm kỳ </w:t>
      </w:r>
      <w:r>
        <w:rPr>
          <w:sz w:val="28"/>
          <w:szCs w:val="28"/>
        </w:rPr>
        <w:t xml:space="preserve">2021-2026 </w:t>
      </w:r>
      <w:r w:rsidRPr="00D5166F">
        <w:rPr>
          <w:sz w:val="28"/>
          <w:szCs w:val="28"/>
        </w:rPr>
        <w:t>và kết quả xác nhận tư cách đại biểu Hội đồng nhân dân cùng cấp được bầu.</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13.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14. Bàn giao các biên bản tổng kết và hồ sơ, tài liệu về cuộc bầu cử đại biểu Hội đồng nhân dân nhiệm kỳ 2021 – 2026 cho Thường trực Hội đồng nhân dân cùng cấp khóa mới.</w:t>
      </w:r>
    </w:p>
    <w:p w:rsidR="005C157A" w:rsidRPr="00D5166F" w:rsidRDefault="005C157A" w:rsidP="005C157A">
      <w:pPr>
        <w:pStyle w:val="Heading2"/>
      </w:pPr>
      <w:bookmarkStart w:id="10" w:name="_Toc63100077"/>
      <w:bookmarkStart w:id="11" w:name="_Toc64898071"/>
      <w:r w:rsidRPr="00D5166F">
        <w:t>Ban bầu cử đại biểu Quốc hội được thành lập như thế nào?</w:t>
      </w:r>
      <w:bookmarkEnd w:id="10"/>
      <w:bookmarkEnd w:id="11"/>
    </w:p>
    <w:p w:rsidR="005C157A" w:rsidRPr="00D5166F" w:rsidRDefault="005C157A" w:rsidP="005C157A">
      <w:pPr>
        <w:widowControl w:val="0"/>
        <w:spacing w:before="120" w:after="120" w:line="340" w:lineRule="exact"/>
        <w:ind w:firstLine="720"/>
        <w:jc w:val="both"/>
        <w:rPr>
          <w:sz w:val="28"/>
          <w:szCs w:val="28"/>
        </w:rPr>
      </w:pPr>
      <w:r w:rsidRPr="00D5166F">
        <w:rPr>
          <w:sz w:val="28"/>
          <w:szCs w:val="28"/>
        </w:rPr>
        <w:t>Ban bầu cử đại biểu Quốc hội được thành lập ở mỗi đơn vị bầu cử đại biểu Quốc hội để trực tiếp phụ trách công tác bầu cử đại biểu Quốc hội khóa XV tại đơn vị bầu cử đó.</w:t>
      </w:r>
    </w:p>
    <w:p w:rsidR="005C157A" w:rsidRDefault="005C157A" w:rsidP="005C157A">
      <w:pPr>
        <w:widowControl w:val="0"/>
        <w:spacing w:before="120" w:after="120" w:line="340" w:lineRule="exact"/>
        <w:ind w:firstLine="720"/>
        <w:jc w:val="both"/>
        <w:rPr>
          <w:sz w:val="28"/>
          <w:szCs w:val="28"/>
        </w:rPr>
      </w:pPr>
      <w:r w:rsidRPr="00AE422F">
        <w:rPr>
          <w:b/>
          <w:i/>
          <w:sz w:val="28"/>
          <w:szCs w:val="28"/>
        </w:rPr>
        <w:t>Chậm nhất là ngày 14 tháng 3 năm 2021</w:t>
      </w:r>
      <w:r w:rsidRPr="00D5166F">
        <w:rPr>
          <w:sz w:val="28"/>
          <w:szCs w:val="28"/>
        </w:rPr>
        <w:t xml:space="preserve"> (70 ngày trước ngày bầu cử), Ủy ban nhân dân cấp tỉnh sau khi thống nhất với Thường trực Hội đồng nhân dân và Ban Thường trực Ủy ban Mặt trận Tổ quốc Việt Nam cùng cấp phải ra quyết định thành lập ở mỗi đơn vị bầu cử đại biểu Quốc hội một Ban bầu cử đại biểu Quốc hội</w:t>
      </w:r>
      <w:r>
        <w:rPr>
          <w:sz w:val="28"/>
          <w:szCs w:val="28"/>
        </w:rPr>
        <w:t>.</w:t>
      </w:r>
    </w:p>
    <w:p w:rsidR="005C157A" w:rsidRDefault="005C157A" w:rsidP="005C157A">
      <w:pPr>
        <w:widowControl w:val="0"/>
        <w:spacing w:before="120" w:after="120" w:line="340" w:lineRule="exact"/>
        <w:ind w:firstLine="720"/>
        <w:jc w:val="both"/>
        <w:rPr>
          <w:sz w:val="28"/>
          <w:szCs w:val="28"/>
        </w:rPr>
      </w:pPr>
      <w:r>
        <w:rPr>
          <w:sz w:val="28"/>
          <w:szCs w:val="28"/>
        </w:rPr>
        <w:t>Ban bầu cử đại biểu Quốc hội</w:t>
      </w:r>
      <w:r w:rsidRPr="00D5166F">
        <w:rPr>
          <w:sz w:val="28"/>
          <w:szCs w:val="28"/>
        </w:rPr>
        <w:t xml:space="preserve"> có từ 9 đến 15 thành viên gồm Trưởng ban, các Phó Trưởng ban và các Ủy viên là đại diện Thường trực Hội đồng nhân dân, Ủy ban nhân dân, Ủy ban Mặt trận Tổ quốc Việt Nam cùng cấp và mộ</w:t>
      </w:r>
      <w:r>
        <w:rPr>
          <w:sz w:val="28"/>
          <w:szCs w:val="28"/>
        </w:rPr>
        <w:t xml:space="preserve">t số cơ quan, tổ chức hữu quan. </w:t>
      </w:r>
    </w:p>
    <w:p w:rsidR="009E64C7" w:rsidRDefault="005C157A" w:rsidP="005C157A">
      <w:pPr>
        <w:widowControl w:val="0"/>
        <w:spacing w:before="120" w:after="120" w:line="340" w:lineRule="exact"/>
        <w:ind w:firstLine="720"/>
        <w:jc w:val="both"/>
        <w:rPr>
          <w:sz w:val="28"/>
          <w:szCs w:val="28"/>
        </w:rPr>
      </w:pPr>
      <w:r w:rsidRPr="00D5166F">
        <w:rPr>
          <w:sz w:val="28"/>
          <w:szCs w:val="28"/>
        </w:rPr>
        <w:t>Danh sách Ban bầu cử đại biểu Quốc hội phải được gửi đến Ủy ban bầu cử ở tỉnh, thành phố trực thuộc trung ương và Thường trực Hội đồng nhân dân, Ban Thường trực Ủy ban Mặt trận Tổ quốc Việt Nam cùng cấp.</w:t>
      </w:r>
    </w:p>
    <w:p w:rsidR="00BF3166" w:rsidRPr="00D5166F" w:rsidRDefault="00BF3166" w:rsidP="005C157A">
      <w:pPr>
        <w:widowControl w:val="0"/>
        <w:spacing w:before="120" w:after="120" w:line="340" w:lineRule="exact"/>
        <w:ind w:firstLine="720"/>
        <w:jc w:val="both"/>
        <w:rPr>
          <w:sz w:val="28"/>
          <w:szCs w:val="28"/>
        </w:rPr>
      </w:pPr>
    </w:p>
    <w:bookmarkEnd w:id="3"/>
    <w:p w:rsidR="00E1003D" w:rsidRDefault="001939C6" w:rsidP="00914FCE">
      <w:pPr>
        <w:ind w:firstLine="720"/>
      </w:pPr>
      <w:r>
        <w:tab/>
      </w:r>
      <w:r>
        <w:tab/>
      </w:r>
      <w:r>
        <w:tab/>
      </w:r>
      <w:r>
        <w:tab/>
      </w:r>
      <w:r>
        <w:tab/>
      </w:r>
      <w:r>
        <w:tab/>
      </w:r>
      <w:r>
        <w:tab/>
      </w:r>
      <w:r w:rsidR="00BF3166">
        <w:t xml:space="preserve">    </w:t>
      </w:r>
      <w:bookmarkStart w:id="12" w:name="_GoBack"/>
      <w:bookmarkEnd w:id="12"/>
      <w:r>
        <w:tab/>
      </w:r>
      <w:r w:rsidR="00BF3166">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6002"/>
    <w:rsid w:val="00165B6E"/>
    <w:rsid w:val="001939C6"/>
    <w:rsid w:val="0040569E"/>
    <w:rsid w:val="004324C8"/>
    <w:rsid w:val="004B7945"/>
    <w:rsid w:val="005C157A"/>
    <w:rsid w:val="006211FB"/>
    <w:rsid w:val="0068108B"/>
    <w:rsid w:val="0078412C"/>
    <w:rsid w:val="0081598F"/>
    <w:rsid w:val="008F31F4"/>
    <w:rsid w:val="00914FCE"/>
    <w:rsid w:val="0097448C"/>
    <w:rsid w:val="009E64C7"/>
    <w:rsid w:val="00A0297F"/>
    <w:rsid w:val="00AF1D18"/>
    <w:rsid w:val="00B841A5"/>
    <w:rsid w:val="00BF3166"/>
    <w:rsid w:val="00C35FD7"/>
    <w:rsid w:val="00CC3336"/>
    <w:rsid w:val="00E00CAD"/>
    <w:rsid w:val="00E1003D"/>
    <w:rsid w:val="00E14F4E"/>
    <w:rsid w:val="00E40034"/>
    <w:rsid w:val="00E818AD"/>
    <w:rsid w:val="00E839A1"/>
    <w:rsid w:val="00EA55FE"/>
    <w:rsid w:val="00EB01AE"/>
    <w:rsid w:val="00EB0C08"/>
    <w:rsid w:val="00E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2021-04-22T08:27:00Z</dcterms:created>
  <dcterms:modified xsi:type="dcterms:W3CDTF">2021-04-22T08:27:00Z</dcterms:modified>
</cp:coreProperties>
</file>