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BE39D1" w:rsidRPr="006F4C55" w:rsidRDefault="00BE39D1" w:rsidP="00BE39D1">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BE39D1" w:rsidRPr="006F4C55" w:rsidRDefault="00BE39D1" w:rsidP="00BE39D1">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BE39D1" w:rsidRPr="006C665C" w:rsidRDefault="00BE39D1" w:rsidP="00BE39D1">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BE39D1" w:rsidRDefault="00BE39D1" w:rsidP="00BE39D1">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BE39D1" w:rsidRPr="00903852" w:rsidRDefault="00BE39D1" w:rsidP="00BE39D1">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CA1176" w:rsidRPr="005A7B60" w:rsidRDefault="00CA1176" w:rsidP="00CA1176">
      <w:pPr>
        <w:spacing w:after="120" w:line="240" w:lineRule="auto"/>
        <w:ind w:firstLine="720"/>
        <w:jc w:val="both"/>
        <w:rPr>
          <w:rFonts w:cs="Times New Roman"/>
          <w:b/>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 xml:space="preserve">18. </w:t>
      </w:r>
      <w:r w:rsidRPr="005A7B60">
        <w:rPr>
          <w:rFonts w:cs="Times New Roman"/>
          <w:b/>
          <w:bCs/>
          <w:color w:val="000000" w:themeColor="text1"/>
          <w:sz w:val="26"/>
          <w:szCs w:val="26"/>
          <w:lang w:val="nl-NL"/>
        </w:rPr>
        <w:t xml:space="preserve">Thủ tục thẩm định hồ sơ người đang trực tiếp tham gia hoạt động chữ thập đỏ bị tai nạn dẫn đến thiệt hại về sức khỏe - </w:t>
      </w:r>
      <w:r w:rsidRPr="005A7B60">
        <w:rPr>
          <w:rFonts w:eastAsia="Times New Roman" w:cs="Times New Roman"/>
          <w:b/>
          <w:color w:val="000000"/>
          <w:sz w:val="26"/>
          <w:szCs w:val="26"/>
          <w:lang w:val="nl-NL"/>
        </w:rPr>
        <w:t>1.005358</w:t>
      </w:r>
    </w:p>
    <w:p w:rsidR="00CA1176" w:rsidRPr="000D5CF1" w:rsidRDefault="00CA1176" w:rsidP="00CA1176">
      <w:pPr>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18</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1174" w:type="dxa"/>
        <w:tblInd w:w="-885" w:type="dxa"/>
        <w:tblLook w:val="04A0" w:firstRow="1" w:lastRow="0" w:firstColumn="1" w:lastColumn="0" w:noHBand="0" w:noVBand="1"/>
      </w:tblPr>
      <w:tblGrid>
        <w:gridCol w:w="851"/>
        <w:gridCol w:w="1985"/>
        <w:gridCol w:w="5528"/>
        <w:gridCol w:w="2126"/>
        <w:gridCol w:w="684"/>
      </w:tblGrid>
      <w:tr w:rsidR="00CA1176"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after="120"/>
              <w:ind w:left="-142" w:firstLine="142"/>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985" w:type="dxa"/>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5528" w:type="dxa"/>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84" w:type="dxa"/>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CA1176" w:rsidRPr="000D5CF1" w:rsidTr="00FE10CA">
        <w:trPr>
          <w:trHeight w:val="898"/>
        </w:trPr>
        <w:tc>
          <w:tcPr>
            <w:tcW w:w="851" w:type="dxa"/>
            <w:tcBorders>
              <w:top w:val="single" w:sz="4" w:space="0" w:color="auto"/>
            </w:tcBorders>
            <w:vAlign w:val="center"/>
          </w:tcPr>
          <w:p w:rsidR="00CA1176" w:rsidRPr="000D5CF1" w:rsidRDefault="00CA1176"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985" w:type="dxa"/>
            <w:tcBorders>
              <w:top w:val="single" w:sz="4" w:space="0" w:color="auto"/>
            </w:tcBorders>
            <w:vAlign w:val="center"/>
          </w:tcPr>
          <w:p w:rsidR="00CA1176" w:rsidRPr="000D5CF1" w:rsidRDefault="00CA117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Nộp hồ sơ thủ tục hành chính</w:t>
            </w:r>
            <w:r w:rsidRPr="000D5CF1">
              <w:rPr>
                <w:rFonts w:eastAsia="Times New Roman"/>
                <w:b/>
                <w:color w:val="000000" w:themeColor="text1"/>
                <w:sz w:val="26"/>
                <w:szCs w:val="26"/>
              </w:rPr>
              <w:t xml:space="preserve">: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528" w:type="dxa"/>
            <w:tcBorders>
              <w:top w:val="single" w:sz="4" w:space="0" w:color="auto"/>
            </w:tcBorders>
            <w:vAlign w:val="center"/>
          </w:tcPr>
          <w:p w:rsidR="00CA1176" w:rsidRPr="000D5CF1" w:rsidRDefault="00CA1176" w:rsidP="00FE10CA">
            <w:pPr>
              <w:spacing w:after="120"/>
              <w:jc w:val="both"/>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CA1176" w:rsidRPr="000D5CF1" w:rsidRDefault="00CA1176"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CA1176" w:rsidRPr="000D5CF1" w:rsidRDefault="00CA1176" w:rsidP="00FE10CA">
            <w:pPr>
              <w:spacing w:after="120"/>
              <w:jc w:val="both"/>
              <w:rPr>
                <w:color w:val="000000" w:themeColor="text1"/>
                <w:sz w:val="26"/>
                <w:szCs w:val="26"/>
              </w:rPr>
            </w:pPr>
            <w:r w:rsidRPr="000D5CF1">
              <w:rPr>
                <w:color w:val="000000" w:themeColor="text1"/>
                <w:sz w:val="26"/>
                <w:szCs w:val="26"/>
              </w:rPr>
              <w:t>3. Nộp trực tuyến mức độ 3 tại website cổng Dịch vụ công của tỉnh Đồng Tháp: http://dichvucong.dongthap.gov.vn.</w:t>
            </w:r>
          </w:p>
        </w:tc>
        <w:tc>
          <w:tcPr>
            <w:tcW w:w="2126" w:type="dxa"/>
            <w:tcBorders>
              <w:top w:val="single" w:sz="4" w:space="0" w:color="auto"/>
            </w:tcBorders>
            <w:vAlign w:val="center"/>
          </w:tcPr>
          <w:p w:rsidR="00CA1176" w:rsidRPr="000D5CF1" w:rsidRDefault="00CA1176"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84" w:type="dxa"/>
            <w:tcBorders>
              <w:top w:val="single" w:sz="4" w:space="0" w:color="auto"/>
            </w:tcBorders>
            <w:vAlign w:val="center"/>
          </w:tcPr>
          <w:p w:rsidR="00CA1176" w:rsidRPr="000D5CF1" w:rsidRDefault="00CA1176" w:rsidP="00FE10CA">
            <w:pPr>
              <w:spacing w:after="120"/>
              <w:jc w:val="center"/>
              <w:rPr>
                <w:rFonts w:eastAsia="Times New Roman"/>
                <w:i/>
                <w:color w:val="000000" w:themeColor="text1"/>
                <w:sz w:val="26"/>
                <w:szCs w:val="26"/>
                <w:lang w:val="vi-VN"/>
              </w:rPr>
            </w:pPr>
          </w:p>
        </w:tc>
      </w:tr>
      <w:tr w:rsidR="00CA1176" w:rsidRPr="000D5CF1" w:rsidTr="00FE10CA">
        <w:trPr>
          <w:trHeight w:val="600"/>
        </w:trPr>
        <w:tc>
          <w:tcPr>
            <w:tcW w:w="851" w:type="dxa"/>
            <w:vAlign w:val="center"/>
          </w:tcPr>
          <w:p w:rsidR="00CA1176" w:rsidRPr="000D5CF1" w:rsidRDefault="00CA1176"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1985" w:type="dxa"/>
            <w:vAlign w:val="center"/>
          </w:tcPr>
          <w:p w:rsidR="00CA1176" w:rsidRPr="000D5CF1" w:rsidRDefault="00CA117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528" w:type="dxa"/>
          </w:tcPr>
          <w:p w:rsidR="00CA1176" w:rsidRPr="000D5CF1" w:rsidRDefault="00CA117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A1176" w:rsidRPr="000D5CF1" w:rsidRDefault="00CA117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A1176" w:rsidRPr="000D5CF1" w:rsidRDefault="00CA117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CA1176" w:rsidRPr="000D5CF1" w:rsidRDefault="00CA117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0D5CF1">
              <w:rPr>
                <w:rFonts w:eastAsia="Times New Roman"/>
                <w:color w:val="000000" w:themeColor="text1"/>
                <w:sz w:val="26"/>
                <w:szCs w:val="26"/>
              </w:rPr>
              <w:lastRenderedPageBreak/>
              <w:t>quyền để giải quyết theo quy trình.</w:t>
            </w:r>
          </w:p>
        </w:tc>
        <w:tc>
          <w:tcPr>
            <w:tcW w:w="2126" w:type="dxa"/>
            <w:vAlign w:val="center"/>
          </w:tcPr>
          <w:p w:rsidR="00CA1176" w:rsidRPr="000D5CF1" w:rsidRDefault="00CA1176"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84" w:type="dxa"/>
            <w:vAlign w:val="center"/>
          </w:tcPr>
          <w:p w:rsidR="00CA1176" w:rsidRPr="000D5CF1" w:rsidRDefault="00CA1176" w:rsidP="00FE10CA">
            <w:pPr>
              <w:spacing w:after="120"/>
              <w:jc w:val="center"/>
              <w:rPr>
                <w:rFonts w:eastAsia="Times New Roman"/>
                <w:i/>
                <w:color w:val="000000" w:themeColor="text1"/>
                <w:sz w:val="26"/>
                <w:szCs w:val="26"/>
                <w:lang w:val="vi-VN"/>
              </w:rPr>
            </w:pPr>
          </w:p>
        </w:tc>
      </w:tr>
      <w:tr w:rsidR="00CA1176" w:rsidRPr="000D5CF1" w:rsidTr="00FE10CA">
        <w:tc>
          <w:tcPr>
            <w:tcW w:w="851" w:type="dxa"/>
            <w:vMerge w:val="restart"/>
            <w:vAlign w:val="center"/>
          </w:tcPr>
          <w:p w:rsidR="00CA1176" w:rsidRPr="000D5CF1" w:rsidRDefault="00CA1176"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1985" w:type="dxa"/>
            <w:vMerge w:val="restart"/>
            <w:vAlign w:val="center"/>
          </w:tcPr>
          <w:p w:rsidR="00CA1176" w:rsidRPr="000D5CF1" w:rsidRDefault="00CA1176"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5528" w:type="dxa"/>
          </w:tcPr>
          <w:p w:rsidR="00CA1176" w:rsidRPr="000D5CF1" w:rsidRDefault="00CA117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126" w:type="dxa"/>
            <w:vAlign w:val="center"/>
          </w:tcPr>
          <w:p w:rsidR="00CA1176" w:rsidRPr="000D5CF1" w:rsidRDefault="00CA1176"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20 ngày làm việc</w:t>
            </w:r>
            <w:r w:rsidRPr="000D5CF1">
              <w:rPr>
                <w:rFonts w:eastAsia="Times New Roman"/>
                <w:color w:val="000000" w:themeColor="text1"/>
                <w:sz w:val="26"/>
                <w:szCs w:val="26"/>
              </w:rPr>
              <w:t xml:space="preserve">, </w:t>
            </w:r>
          </w:p>
          <w:p w:rsidR="00CA1176" w:rsidRPr="000D5CF1" w:rsidRDefault="00CA1176"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84" w:type="dxa"/>
            <w:vAlign w:val="center"/>
          </w:tcPr>
          <w:p w:rsidR="00CA1176" w:rsidRPr="000D5CF1" w:rsidRDefault="00CA1176" w:rsidP="00FE10CA">
            <w:pPr>
              <w:spacing w:after="120"/>
              <w:jc w:val="center"/>
              <w:rPr>
                <w:rFonts w:eastAsia="Times New Roman"/>
                <w:b/>
                <w:color w:val="000000" w:themeColor="text1"/>
                <w:sz w:val="26"/>
                <w:szCs w:val="26"/>
              </w:rPr>
            </w:pPr>
          </w:p>
        </w:tc>
      </w:tr>
      <w:tr w:rsidR="00CA1176" w:rsidRPr="000D5CF1" w:rsidTr="00FE10CA">
        <w:tc>
          <w:tcPr>
            <w:tcW w:w="851" w:type="dxa"/>
            <w:vMerge/>
          </w:tcPr>
          <w:p w:rsidR="00CA1176" w:rsidRPr="000D5CF1" w:rsidRDefault="00CA1176" w:rsidP="00FE10CA">
            <w:pPr>
              <w:spacing w:after="120"/>
              <w:jc w:val="both"/>
              <w:rPr>
                <w:rFonts w:eastAsia="Times New Roman"/>
                <w:b/>
                <w:color w:val="000000" w:themeColor="text1"/>
                <w:sz w:val="26"/>
                <w:szCs w:val="26"/>
              </w:rPr>
            </w:pPr>
          </w:p>
        </w:tc>
        <w:tc>
          <w:tcPr>
            <w:tcW w:w="1985" w:type="dxa"/>
            <w:vMerge/>
          </w:tcPr>
          <w:p w:rsidR="00CA1176" w:rsidRPr="000D5CF1" w:rsidRDefault="00CA1176" w:rsidP="00FE10CA">
            <w:pPr>
              <w:spacing w:after="120"/>
              <w:jc w:val="both"/>
              <w:rPr>
                <w:rFonts w:eastAsia="Times New Roman"/>
                <w:b/>
                <w:color w:val="000000" w:themeColor="text1"/>
                <w:sz w:val="26"/>
                <w:szCs w:val="26"/>
              </w:rPr>
            </w:pPr>
          </w:p>
        </w:tc>
        <w:tc>
          <w:tcPr>
            <w:tcW w:w="5528" w:type="dxa"/>
          </w:tcPr>
          <w:p w:rsidR="00CA1176" w:rsidRPr="000D5CF1" w:rsidRDefault="00CA1176"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126" w:type="dxa"/>
            <w:vAlign w:val="center"/>
          </w:tcPr>
          <w:p w:rsidR="00CA1176" w:rsidRPr="000D5CF1" w:rsidRDefault="00CA1176"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84" w:type="dxa"/>
          </w:tcPr>
          <w:p w:rsidR="00CA1176" w:rsidRPr="000D5CF1" w:rsidRDefault="00CA1176" w:rsidP="00FE10CA">
            <w:pPr>
              <w:spacing w:after="120"/>
              <w:jc w:val="both"/>
              <w:rPr>
                <w:rFonts w:eastAsia="Times New Roman"/>
                <w:b/>
                <w:color w:val="000000" w:themeColor="text1"/>
                <w:sz w:val="26"/>
                <w:szCs w:val="26"/>
              </w:rPr>
            </w:pPr>
          </w:p>
        </w:tc>
      </w:tr>
      <w:tr w:rsidR="00CA1176" w:rsidRPr="000D5CF1" w:rsidTr="00FE10CA">
        <w:tc>
          <w:tcPr>
            <w:tcW w:w="851" w:type="dxa"/>
            <w:vMerge/>
          </w:tcPr>
          <w:p w:rsidR="00CA1176" w:rsidRPr="000D5CF1" w:rsidRDefault="00CA1176" w:rsidP="00FE10CA">
            <w:pPr>
              <w:spacing w:after="120"/>
              <w:jc w:val="both"/>
              <w:rPr>
                <w:rFonts w:eastAsia="Times New Roman"/>
                <w:b/>
                <w:color w:val="000000" w:themeColor="text1"/>
                <w:sz w:val="26"/>
                <w:szCs w:val="26"/>
              </w:rPr>
            </w:pPr>
          </w:p>
        </w:tc>
        <w:tc>
          <w:tcPr>
            <w:tcW w:w="1985" w:type="dxa"/>
            <w:vMerge/>
          </w:tcPr>
          <w:p w:rsidR="00CA1176" w:rsidRPr="000D5CF1" w:rsidRDefault="00CA1176" w:rsidP="00FE10CA">
            <w:pPr>
              <w:spacing w:after="120"/>
              <w:jc w:val="both"/>
              <w:rPr>
                <w:rFonts w:eastAsia="Times New Roman"/>
                <w:b/>
                <w:color w:val="000000" w:themeColor="text1"/>
                <w:sz w:val="26"/>
                <w:szCs w:val="26"/>
              </w:rPr>
            </w:pPr>
          </w:p>
        </w:tc>
        <w:tc>
          <w:tcPr>
            <w:tcW w:w="5528" w:type="dxa"/>
          </w:tcPr>
          <w:p w:rsidR="00CA1176" w:rsidRPr="000D5CF1" w:rsidRDefault="00CA1176"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126" w:type="dxa"/>
            <w:vAlign w:val="center"/>
          </w:tcPr>
          <w:p w:rsidR="00CA1176" w:rsidRPr="000D5CF1" w:rsidRDefault="00CA1176"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19,5 ngày làm việc</w:t>
            </w:r>
          </w:p>
        </w:tc>
        <w:tc>
          <w:tcPr>
            <w:tcW w:w="684" w:type="dxa"/>
          </w:tcPr>
          <w:p w:rsidR="00CA1176" w:rsidRPr="000D5CF1" w:rsidRDefault="00CA1176" w:rsidP="00FE10CA">
            <w:pPr>
              <w:spacing w:after="120"/>
              <w:jc w:val="both"/>
              <w:rPr>
                <w:rFonts w:eastAsia="Times New Roman"/>
                <w:b/>
                <w:color w:val="000000" w:themeColor="text1"/>
                <w:sz w:val="26"/>
                <w:szCs w:val="26"/>
              </w:rPr>
            </w:pPr>
          </w:p>
        </w:tc>
      </w:tr>
      <w:tr w:rsidR="00CA1176" w:rsidRPr="000D5CF1" w:rsidTr="00FE10CA">
        <w:tc>
          <w:tcPr>
            <w:tcW w:w="851" w:type="dxa"/>
            <w:vMerge/>
          </w:tcPr>
          <w:p w:rsidR="00CA1176" w:rsidRPr="000D5CF1" w:rsidRDefault="00CA1176" w:rsidP="00FE10CA">
            <w:pPr>
              <w:spacing w:after="120"/>
              <w:jc w:val="both"/>
              <w:rPr>
                <w:rFonts w:eastAsia="Times New Roman"/>
                <w:b/>
                <w:color w:val="000000" w:themeColor="text1"/>
                <w:sz w:val="26"/>
                <w:szCs w:val="26"/>
              </w:rPr>
            </w:pPr>
          </w:p>
        </w:tc>
        <w:tc>
          <w:tcPr>
            <w:tcW w:w="1985" w:type="dxa"/>
            <w:vMerge/>
          </w:tcPr>
          <w:p w:rsidR="00CA1176" w:rsidRPr="000D5CF1" w:rsidRDefault="00CA1176" w:rsidP="00FE10CA">
            <w:pPr>
              <w:spacing w:after="120"/>
              <w:jc w:val="both"/>
              <w:rPr>
                <w:rFonts w:eastAsia="Times New Roman"/>
                <w:b/>
                <w:color w:val="000000" w:themeColor="text1"/>
                <w:sz w:val="26"/>
                <w:szCs w:val="26"/>
              </w:rPr>
            </w:pPr>
          </w:p>
        </w:tc>
        <w:tc>
          <w:tcPr>
            <w:tcW w:w="5528" w:type="dxa"/>
          </w:tcPr>
          <w:p w:rsidR="00CA1176" w:rsidRPr="000D5CF1" w:rsidRDefault="00CA117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CA1176" w:rsidRPr="000D5CF1" w:rsidRDefault="00CA117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CA1176" w:rsidRPr="000D5CF1" w:rsidRDefault="00CA117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CA1176" w:rsidRPr="000D5CF1" w:rsidRDefault="00CA1176"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vAlign w:val="center"/>
          </w:tcPr>
          <w:p w:rsidR="00CA1176" w:rsidRPr="000D5CF1" w:rsidRDefault="00CA1176" w:rsidP="00FE10CA">
            <w:pPr>
              <w:spacing w:after="120"/>
              <w:jc w:val="center"/>
              <w:rPr>
                <w:rFonts w:eastAsia="Times New Roman"/>
                <w:b/>
                <w:color w:val="000000" w:themeColor="text1"/>
                <w:sz w:val="26"/>
                <w:szCs w:val="26"/>
              </w:rPr>
            </w:pPr>
          </w:p>
        </w:tc>
        <w:tc>
          <w:tcPr>
            <w:tcW w:w="684" w:type="dxa"/>
          </w:tcPr>
          <w:p w:rsidR="00CA1176" w:rsidRPr="000D5CF1" w:rsidRDefault="00CA1176" w:rsidP="00FE10CA">
            <w:pPr>
              <w:spacing w:after="120"/>
              <w:jc w:val="both"/>
              <w:rPr>
                <w:rFonts w:eastAsia="Times New Roman"/>
                <w:b/>
                <w:color w:val="000000" w:themeColor="text1"/>
                <w:sz w:val="26"/>
                <w:szCs w:val="26"/>
              </w:rPr>
            </w:pPr>
          </w:p>
        </w:tc>
      </w:tr>
      <w:tr w:rsidR="00CA1176" w:rsidRPr="000D5CF1" w:rsidTr="00FE10CA">
        <w:tc>
          <w:tcPr>
            <w:tcW w:w="851" w:type="dxa"/>
            <w:vMerge/>
          </w:tcPr>
          <w:p w:rsidR="00CA1176" w:rsidRPr="000D5CF1" w:rsidRDefault="00CA1176" w:rsidP="00FE10CA">
            <w:pPr>
              <w:spacing w:after="120"/>
              <w:jc w:val="both"/>
              <w:rPr>
                <w:rFonts w:eastAsia="Times New Roman"/>
                <w:b/>
                <w:color w:val="000000" w:themeColor="text1"/>
                <w:sz w:val="26"/>
                <w:szCs w:val="26"/>
              </w:rPr>
            </w:pPr>
          </w:p>
        </w:tc>
        <w:tc>
          <w:tcPr>
            <w:tcW w:w="1985" w:type="dxa"/>
            <w:vMerge/>
          </w:tcPr>
          <w:p w:rsidR="00CA1176" w:rsidRPr="000D5CF1" w:rsidRDefault="00CA1176" w:rsidP="00FE10CA">
            <w:pPr>
              <w:spacing w:after="120"/>
              <w:jc w:val="both"/>
              <w:rPr>
                <w:rFonts w:eastAsia="Times New Roman"/>
                <w:b/>
                <w:color w:val="000000" w:themeColor="text1"/>
                <w:sz w:val="26"/>
                <w:szCs w:val="26"/>
              </w:rPr>
            </w:pPr>
          </w:p>
        </w:tc>
        <w:tc>
          <w:tcPr>
            <w:tcW w:w="5528" w:type="dxa"/>
            <w:vAlign w:val="center"/>
          </w:tcPr>
          <w:p w:rsidR="00CA1176" w:rsidRPr="000D5CF1" w:rsidRDefault="00CA1176"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126" w:type="dxa"/>
            <w:vAlign w:val="center"/>
          </w:tcPr>
          <w:p w:rsidR="00CA1176" w:rsidRPr="000D5CF1" w:rsidRDefault="00CA1176"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84" w:type="dxa"/>
          </w:tcPr>
          <w:p w:rsidR="00CA1176" w:rsidRPr="000D5CF1" w:rsidRDefault="00CA1176" w:rsidP="00FE10CA">
            <w:pPr>
              <w:spacing w:after="120"/>
              <w:jc w:val="both"/>
              <w:rPr>
                <w:rFonts w:eastAsia="Times New Roman"/>
                <w:b/>
                <w:color w:val="000000" w:themeColor="text1"/>
                <w:sz w:val="26"/>
                <w:szCs w:val="26"/>
              </w:rPr>
            </w:pPr>
          </w:p>
        </w:tc>
      </w:tr>
      <w:tr w:rsidR="00CA1176" w:rsidRPr="000D5CF1" w:rsidTr="00FE10CA">
        <w:tc>
          <w:tcPr>
            <w:tcW w:w="851" w:type="dxa"/>
            <w:vMerge/>
          </w:tcPr>
          <w:p w:rsidR="00CA1176" w:rsidRPr="000D5CF1" w:rsidRDefault="00CA1176" w:rsidP="00FE10CA">
            <w:pPr>
              <w:spacing w:after="120"/>
              <w:jc w:val="both"/>
              <w:rPr>
                <w:rFonts w:eastAsia="Times New Roman"/>
                <w:b/>
                <w:color w:val="000000" w:themeColor="text1"/>
                <w:sz w:val="26"/>
                <w:szCs w:val="26"/>
              </w:rPr>
            </w:pPr>
          </w:p>
        </w:tc>
        <w:tc>
          <w:tcPr>
            <w:tcW w:w="1985" w:type="dxa"/>
            <w:vMerge/>
          </w:tcPr>
          <w:p w:rsidR="00CA1176" w:rsidRPr="000D5CF1" w:rsidRDefault="00CA1176" w:rsidP="00FE10CA">
            <w:pPr>
              <w:spacing w:after="120"/>
              <w:jc w:val="both"/>
              <w:rPr>
                <w:rFonts w:eastAsia="Times New Roman"/>
                <w:b/>
                <w:color w:val="000000" w:themeColor="text1"/>
                <w:sz w:val="26"/>
                <w:szCs w:val="26"/>
              </w:rPr>
            </w:pPr>
          </w:p>
        </w:tc>
        <w:tc>
          <w:tcPr>
            <w:tcW w:w="5528" w:type="dxa"/>
          </w:tcPr>
          <w:p w:rsidR="00CA1176" w:rsidRPr="000D5CF1" w:rsidRDefault="00CA1176"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126" w:type="dxa"/>
            <w:vAlign w:val="center"/>
          </w:tcPr>
          <w:p w:rsidR="00CA1176" w:rsidRPr="000D5CF1" w:rsidRDefault="00CA1176"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 11 ngày làm việc</w:t>
            </w:r>
          </w:p>
        </w:tc>
        <w:tc>
          <w:tcPr>
            <w:tcW w:w="684" w:type="dxa"/>
          </w:tcPr>
          <w:p w:rsidR="00CA1176" w:rsidRPr="000D5CF1" w:rsidRDefault="00CA1176" w:rsidP="00FE10CA">
            <w:pPr>
              <w:spacing w:after="120"/>
              <w:jc w:val="both"/>
              <w:rPr>
                <w:rFonts w:eastAsia="Times New Roman"/>
                <w:b/>
                <w:color w:val="000000" w:themeColor="text1"/>
                <w:sz w:val="26"/>
                <w:szCs w:val="26"/>
              </w:rPr>
            </w:pPr>
          </w:p>
        </w:tc>
      </w:tr>
      <w:tr w:rsidR="00CA1176" w:rsidRPr="000D5CF1" w:rsidTr="00FE10CA">
        <w:tc>
          <w:tcPr>
            <w:tcW w:w="851" w:type="dxa"/>
            <w:vMerge/>
          </w:tcPr>
          <w:p w:rsidR="00CA1176" w:rsidRPr="000D5CF1" w:rsidRDefault="00CA1176" w:rsidP="00FE10CA">
            <w:pPr>
              <w:spacing w:after="120"/>
              <w:jc w:val="both"/>
              <w:rPr>
                <w:rFonts w:eastAsia="Times New Roman"/>
                <w:b/>
                <w:color w:val="000000" w:themeColor="text1"/>
                <w:sz w:val="26"/>
                <w:szCs w:val="26"/>
              </w:rPr>
            </w:pPr>
          </w:p>
        </w:tc>
        <w:tc>
          <w:tcPr>
            <w:tcW w:w="1985" w:type="dxa"/>
            <w:vMerge/>
          </w:tcPr>
          <w:p w:rsidR="00CA1176" w:rsidRPr="000D5CF1" w:rsidRDefault="00CA1176" w:rsidP="00FE10CA">
            <w:pPr>
              <w:spacing w:after="120"/>
              <w:jc w:val="both"/>
              <w:rPr>
                <w:rFonts w:eastAsia="Times New Roman"/>
                <w:b/>
                <w:color w:val="000000" w:themeColor="text1"/>
                <w:sz w:val="26"/>
                <w:szCs w:val="26"/>
              </w:rPr>
            </w:pPr>
          </w:p>
        </w:tc>
        <w:tc>
          <w:tcPr>
            <w:tcW w:w="5528" w:type="dxa"/>
          </w:tcPr>
          <w:p w:rsidR="00CA1176" w:rsidRPr="000D5CF1" w:rsidRDefault="00CA1176" w:rsidP="00FE10CA">
            <w:pPr>
              <w:spacing w:after="120"/>
              <w:jc w:val="both"/>
              <w:rPr>
                <w:color w:val="000000" w:themeColor="text1"/>
                <w:spacing w:val="-4"/>
                <w:sz w:val="26"/>
                <w:szCs w:val="26"/>
              </w:rPr>
            </w:pPr>
            <w:r w:rsidRPr="000D5CF1">
              <w:rPr>
                <w:bCs/>
                <w:color w:val="000000" w:themeColor="text1"/>
                <w:sz w:val="26"/>
                <w:szCs w:val="26"/>
              </w:rPr>
              <w:t>Văn phòng Hội đồng nhân dân và Ủy ban nhân dân cấp huyện thẩm tra và trình ký</w:t>
            </w:r>
          </w:p>
        </w:tc>
        <w:tc>
          <w:tcPr>
            <w:tcW w:w="2126" w:type="dxa"/>
            <w:vAlign w:val="center"/>
          </w:tcPr>
          <w:p w:rsidR="00CA1176" w:rsidRPr="000D5CF1" w:rsidRDefault="00CA1176" w:rsidP="00FE10CA">
            <w:pPr>
              <w:spacing w:after="120"/>
              <w:jc w:val="center"/>
              <w:rPr>
                <w:color w:val="000000" w:themeColor="text1"/>
                <w:spacing w:val="-4"/>
                <w:sz w:val="26"/>
                <w:szCs w:val="26"/>
              </w:rPr>
            </w:pPr>
            <w:r w:rsidRPr="000D5CF1">
              <w:rPr>
                <w:color w:val="000000" w:themeColor="text1"/>
                <w:spacing w:val="-4"/>
                <w:sz w:val="26"/>
                <w:szCs w:val="26"/>
              </w:rPr>
              <w:t>05 ngày làm việc</w:t>
            </w:r>
          </w:p>
        </w:tc>
        <w:tc>
          <w:tcPr>
            <w:tcW w:w="684" w:type="dxa"/>
          </w:tcPr>
          <w:p w:rsidR="00CA1176" w:rsidRPr="000D5CF1" w:rsidRDefault="00CA1176" w:rsidP="00FE10CA">
            <w:pPr>
              <w:spacing w:after="120"/>
              <w:jc w:val="both"/>
              <w:rPr>
                <w:rFonts w:eastAsia="Times New Roman"/>
                <w:b/>
                <w:color w:val="000000" w:themeColor="text1"/>
                <w:sz w:val="26"/>
                <w:szCs w:val="26"/>
              </w:rPr>
            </w:pPr>
          </w:p>
        </w:tc>
      </w:tr>
      <w:tr w:rsidR="00CA1176" w:rsidRPr="000D5CF1" w:rsidTr="00FE10CA">
        <w:tc>
          <w:tcPr>
            <w:tcW w:w="851" w:type="dxa"/>
            <w:vMerge/>
          </w:tcPr>
          <w:p w:rsidR="00CA1176" w:rsidRPr="000D5CF1" w:rsidRDefault="00CA1176" w:rsidP="00FE10CA">
            <w:pPr>
              <w:spacing w:after="120"/>
              <w:jc w:val="both"/>
              <w:rPr>
                <w:rFonts w:eastAsia="Times New Roman"/>
                <w:b/>
                <w:color w:val="000000" w:themeColor="text1"/>
                <w:sz w:val="26"/>
                <w:szCs w:val="26"/>
              </w:rPr>
            </w:pPr>
          </w:p>
        </w:tc>
        <w:tc>
          <w:tcPr>
            <w:tcW w:w="1985" w:type="dxa"/>
            <w:vMerge/>
          </w:tcPr>
          <w:p w:rsidR="00CA1176" w:rsidRPr="000D5CF1" w:rsidRDefault="00CA1176" w:rsidP="00FE10CA">
            <w:pPr>
              <w:spacing w:after="120"/>
              <w:jc w:val="both"/>
              <w:rPr>
                <w:rFonts w:eastAsia="Times New Roman"/>
                <w:b/>
                <w:color w:val="000000" w:themeColor="text1"/>
                <w:sz w:val="26"/>
                <w:szCs w:val="26"/>
              </w:rPr>
            </w:pPr>
          </w:p>
        </w:tc>
        <w:tc>
          <w:tcPr>
            <w:tcW w:w="5528" w:type="dxa"/>
          </w:tcPr>
          <w:p w:rsidR="00CA1176" w:rsidRPr="000D5CF1" w:rsidRDefault="00CA1176" w:rsidP="00FE10CA">
            <w:pPr>
              <w:spacing w:after="120"/>
              <w:jc w:val="both"/>
              <w:rPr>
                <w:color w:val="000000" w:themeColor="text1"/>
                <w:spacing w:val="-4"/>
                <w:sz w:val="26"/>
                <w:szCs w:val="26"/>
              </w:rPr>
            </w:pPr>
            <w:r w:rsidRPr="000D5CF1">
              <w:rPr>
                <w:color w:val="000000" w:themeColor="text1"/>
                <w:spacing w:val="-4"/>
                <w:sz w:val="26"/>
                <w:szCs w:val="26"/>
              </w:rPr>
              <w:t>Lãnh đạo Huyện, thị xã, thành phố</w:t>
            </w:r>
          </w:p>
        </w:tc>
        <w:tc>
          <w:tcPr>
            <w:tcW w:w="2126" w:type="dxa"/>
            <w:vAlign w:val="center"/>
          </w:tcPr>
          <w:p w:rsidR="00CA1176" w:rsidRPr="000D5CF1" w:rsidRDefault="00CA1176"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84" w:type="dxa"/>
          </w:tcPr>
          <w:p w:rsidR="00CA1176" w:rsidRPr="000D5CF1" w:rsidRDefault="00CA1176" w:rsidP="00FE10CA">
            <w:pPr>
              <w:spacing w:after="120"/>
              <w:jc w:val="both"/>
              <w:rPr>
                <w:rFonts w:eastAsia="Times New Roman"/>
                <w:b/>
                <w:color w:val="000000" w:themeColor="text1"/>
                <w:sz w:val="26"/>
                <w:szCs w:val="26"/>
              </w:rPr>
            </w:pPr>
          </w:p>
        </w:tc>
      </w:tr>
      <w:tr w:rsidR="00CA1176" w:rsidRPr="000D5CF1" w:rsidTr="00FE10CA">
        <w:tc>
          <w:tcPr>
            <w:tcW w:w="851" w:type="dxa"/>
            <w:vMerge/>
          </w:tcPr>
          <w:p w:rsidR="00CA1176" w:rsidRPr="000D5CF1" w:rsidRDefault="00CA1176" w:rsidP="00FE10CA">
            <w:pPr>
              <w:spacing w:after="120"/>
              <w:jc w:val="both"/>
              <w:rPr>
                <w:rFonts w:eastAsia="Times New Roman"/>
                <w:b/>
                <w:color w:val="000000" w:themeColor="text1"/>
                <w:sz w:val="26"/>
                <w:szCs w:val="26"/>
              </w:rPr>
            </w:pPr>
          </w:p>
        </w:tc>
        <w:tc>
          <w:tcPr>
            <w:tcW w:w="1985" w:type="dxa"/>
            <w:vMerge/>
          </w:tcPr>
          <w:p w:rsidR="00CA1176" w:rsidRPr="000D5CF1" w:rsidRDefault="00CA1176" w:rsidP="00FE10CA">
            <w:pPr>
              <w:spacing w:after="120"/>
              <w:jc w:val="both"/>
              <w:rPr>
                <w:rFonts w:eastAsia="Times New Roman"/>
                <w:b/>
                <w:color w:val="000000" w:themeColor="text1"/>
                <w:sz w:val="26"/>
                <w:szCs w:val="26"/>
              </w:rPr>
            </w:pPr>
          </w:p>
        </w:tc>
        <w:tc>
          <w:tcPr>
            <w:tcW w:w="5528" w:type="dxa"/>
          </w:tcPr>
          <w:p w:rsidR="00CA1176" w:rsidRPr="000D5CF1" w:rsidRDefault="00CA1176"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126" w:type="dxa"/>
            <w:vAlign w:val="center"/>
          </w:tcPr>
          <w:p w:rsidR="00CA1176" w:rsidRPr="000D5CF1" w:rsidRDefault="00CA1176"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84" w:type="dxa"/>
          </w:tcPr>
          <w:p w:rsidR="00CA1176" w:rsidRPr="000D5CF1" w:rsidRDefault="00CA1176" w:rsidP="00FE10CA">
            <w:pPr>
              <w:spacing w:after="120"/>
              <w:jc w:val="both"/>
              <w:rPr>
                <w:rFonts w:eastAsia="Times New Roman"/>
                <w:b/>
                <w:color w:val="000000" w:themeColor="text1"/>
                <w:sz w:val="26"/>
                <w:szCs w:val="26"/>
              </w:rPr>
            </w:pPr>
          </w:p>
        </w:tc>
      </w:tr>
      <w:tr w:rsidR="00CA1176" w:rsidRPr="000D5CF1" w:rsidTr="00FE10CA">
        <w:tc>
          <w:tcPr>
            <w:tcW w:w="851" w:type="dxa"/>
            <w:vAlign w:val="center"/>
          </w:tcPr>
          <w:p w:rsidR="00CA1176" w:rsidRPr="000D5CF1" w:rsidRDefault="00CA1176"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1985" w:type="dxa"/>
            <w:vAlign w:val="center"/>
          </w:tcPr>
          <w:p w:rsidR="00CA1176" w:rsidRPr="000D5CF1" w:rsidRDefault="00CA1176"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 xml:space="preserve">Trả kết quả giải quyết thủ tục </w:t>
            </w:r>
            <w:r w:rsidRPr="000D5CF1">
              <w:rPr>
                <w:rFonts w:eastAsia="Times New Roman"/>
                <w:color w:val="000000" w:themeColor="text1"/>
                <w:sz w:val="26"/>
                <w:szCs w:val="26"/>
                <w:lang w:val="nl-NL"/>
              </w:rPr>
              <w:lastRenderedPageBreak/>
              <w:t>hành chính</w:t>
            </w:r>
          </w:p>
          <w:p w:rsidR="00CA1176" w:rsidRPr="000D5CF1" w:rsidRDefault="00CA1176" w:rsidP="00FE10CA">
            <w:pPr>
              <w:spacing w:after="120"/>
              <w:jc w:val="center"/>
              <w:rPr>
                <w:rFonts w:eastAsia="Times New Roman"/>
                <w:color w:val="000000" w:themeColor="text1"/>
                <w:sz w:val="26"/>
                <w:szCs w:val="26"/>
              </w:rPr>
            </w:pPr>
          </w:p>
        </w:tc>
        <w:tc>
          <w:tcPr>
            <w:tcW w:w="5528" w:type="dxa"/>
          </w:tcPr>
          <w:p w:rsidR="00CA1176" w:rsidRPr="000D5CF1" w:rsidRDefault="00CA117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lastRenderedPageBreak/>
              <w:t xml:space="preserve">Công chức tiếp nhận và trả  kết quả nhập vào sổ theo dõi hồ sơ và phần mềm điện tử thực hiện như </w:t>
            </w:r>
            <w:r w:rsidRPr="000D5CF1">
              <w:rPr>
                <w:rFonts w:eastAsia="Times New Roman"/>
                <w:iCs/>
                <w:color w:val="000000" w:themeColor="text1"/>
                <w:sz w:val="26"/>
                <w:szCs w:val="26"/>
                <w:lang w:val="nl-NL"/>
              </w:rPr>
              <w:lastRenderedPageBreak/>
              <w:t>sau:</w:t>
            </w:r>
          </w:p>
          <w:p w:rsidR="00CA1176" w:rsidRPr="000D5CF1" w:rsidRDefault="00CA117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A1176" w:rsidRPr="000D5CF1" w:rsidRDefault="00CA117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A1176" w:rsidRPr="000D5CF1" w:rsidRDefault="00CA117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CA1176" w:rsidRPr="000D5CF1" w:rsidRDefault="00CA117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26" w:type="dxa"/>
            <w:vAlign w:val="center"/>
          </w:tcPr>
          <w:p w:rsidR="00CA1176" w:rsidRPr="000D5CF1" w:rsidRDefault="00CA1176"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84" w:type="dxa"/>
          </w:tcPr>
          <w:p w:rsidR="00CA1176" w:rsidRPr="000D5CF1" w:rsidRDefault="00CA1176" w:rsidP="00FE10CA">
            <w:pPr>
              <w:spacing w:after="120"/>
              <w:jc w:val="both"/>
              <w:rPr>
                <w:rFonts w:eastAsia="Times New Roman"/>
                <w:color w:val="000000" w:themeColor="text1"/>
                <w:sz w:val="26"/>
                <w:szCs w:val="26"/>
                <w:lang w:val="vi-VN"/>
              </w:rPr>
            </w:pPr>
          </w:p>
        </w:tc>
      </w:tr>
    </w:tbl>
    <w:p w:rsidR="00CA1176" w:rsidRPr="000D5CF1" w:rsidRDefault="00CA1176" w:rsidP="00CA1176">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18</w:t>
      </w:r>
      <w:r w:rsidRPr="000D5CF1">
        <w:rPr>
          <w:rFonts w:eastAsia="Times New Roman" w:cs="Times New Roman"/>
          <w:b/>
          <w:bCs/>
          <w:color w:val="000000" w:themeColor="text1"/>
          <w:sz w:val="26"/>
          <w:szCs w:val="26"/>
        </w:rPr>
        <w:t>.2. Thành phần, số lượng hồ sơ</w:t>
      </w:r>
    </w:p>
    <w:p w:rsidR="00CA1176" w:rsidRPr="000D5CF1" w:rsidRDefault="00CA1176" w:rsidP="00CA1176">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CA1176" w:rsidRPr="000D5CF1" w:rsidRDefault="00CA1176" w:rsidP="00CA1176">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Công văn đề nghị thẩm định của Hội Chữ thập đỏ (bản chính);</w:t>
      </w:r>
    </w:p>
    <w:p w:rsidR="00CA1176" w:rsidRPr="000D5CF1" w:rsidRDefault="00CA1176" w:rsidP="00CA1176">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Biên bản xác nhận tình trạng của người bị tai nạn do Hội Chữ thập đỏ lập có xác nhận của Ủy ban nhân dân cấp xã nơi xảy ra tai nạn hoặc cơ quan công an nơi xảy ra tai nạn (bản chính hoặc bản sao có chứng thực nếu gửi qua bưu điện, bản phô tô và bản chính để đối chiếu nếu gửi trực tiếp);</w:t>
      </w:r>
    </w:p>
    <w:p w:rsidR="00CA1176" w:rsidRPr="000D5CF1" w:rsidRDefault="00CA1176" w:rsidP="00CA1176">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Giấy ra viện, hóa đơn thanh toán chi phí khám bệnh, chữa bệnh và những chi phí không nằm trong danh mục do bảo hiểm chi trả với người lao động tham gia bảo hiểm y tế (bản chính hoặc bản sao có chứng thực nếu gửi qua bưu điện, bản phô tô và bản chính để đối chiếu nếu gửi trực tiếp);</w:t>
      </w:r>
    </w:p>
    <w:p w:rsidR="00CA1176" w:rsidRPr="000D5CF1" w:rsidRDefault="00CA1176" w:rsidP="00CA1176">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Văn bản, giấy tờ hợp lệ về thu nhập thực tế theo tiền lương, tiền công hằng tháng của người bị tai nạn có xác nhận của tổ chức hoặc cá nhân sử dụng lao động (bản chính hoặc bản sao có chứng thực nếu gửi qua bưu điện, bản phô tô và bản chính để đối chiếu nếu gửi trực tiếp) gồm: Hợp đồng lao động, quyết định nâng lương của tổ chức hoặc cá nhân sử dụng lao động hoặc bản kê có thu nhập thực tế của người bị tai nạn và các giấy tờ chứng minh thu nhập thực tế hợp pháp khác (nếu có).</w:t>
      </w:r>
    </w:p>
    <w:p w:rsidR="00CA1176" w:rsidRPr="000D5CF1" w:rsidRDefault="00CA1176" w:rsidP="00CA1176">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Số lượng hồ sơ: </w:t>
      </w:r>
      <w:r w:rsidRPr="000D5CF1">
        <w:rPr>
          <w:rFonts w:cs="Times New Roman"/>
          <w:color w:val="000000" w:themeColor="text1"/>
          <w:sz w:val="26"/>
          <w:szCs w:val="26"/>
          <w:lang w:val="sv-SE"/>
        </w:rPr>
        <w:t>01 bộ (bản chính).</w:t>
      </w:r>
    </w:p>
    <w:p w:rsidR="00CA1176" w:rsidRPr="005A7B60" w:rsidRDefault="00CA1176" w:rsidP="00CA1176">
      <w:pPr>
        <w:spacing w:after="120" w:line="240" w:lineRule="auto"/>
        <w:ind w:firstLine="720"/>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18.3. Đối tượng thực hiện thủ tục hành chính: </w:t>
      </w:r>
      <w:r w:rsidRPr="005A7B60">
        <w:rPr>
          <w:rFonts w:cs="Times New Roman"/>
          <w:color w:val="000000" w:themeColor="text1"/>
          <w:sz w:val="26"/>
          <w:szCs w:val="26"/>
          <w:lang w:val="sv-SE"/>
        </w:rPr>
        <w:t>Hội Chữ thập đỏ quản lý người bị tai nạn.</w:t>
      </w:r>
    </w:p>
    <w:p w:rsidR="00CA1176" w:rsidRPr="005A7B60" w:rsidRDefault="00CA1176" w:rsidP="00CA1176">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18.4. Cơ quan giải quyết thủ tục hành chính</w:t>
      </w:r>
      <w:r w:rsidRPr="005A7B60">
        <w:rPr>
          <w:rFonts w:eastAsia="Times New Roman" w:cs="Times New Roman"/>
          <w:color w:val="000000" w:themeColor="text1"/>
          <w:sz w:val="26"/>
          <w:szCs w:val="26"/>
          <w:lang w:val="sv-SE"/>
        </w:rPr>
        <w:t>: UBND cấp huyện</w:t>
      </w:r>
    </w:p>
    <w:p w:rsidR="00CA1176" w:rsidRPr="005A7B60" w:rsidRDefault="00CA1176" w:rsidP="00CA1176">
      <w:pPr>
        <w:spacing w:after="120" w:line="240" w:lineRule="auto"/>
        <w:ind w:firstLine="720"/>
        <w:jc w:val="both"/>
        <w:rPr>
          <w:rFonts w:cs="Times New Roman"/>
          <w:color w:val="000000" w:themeColor="text1"/>
          <w:sz w:val="26"/>
          <w:szCs w:val="26"/>
          <w:lang w:val="sv-SE"/>
        </w:rPr>
      </w:pPr>
      <w:r w:rsidRPr="005A7B60">
        <w:rPr>
          <w:rFonts w:cs="Times New Roman"/>
          <w:b/>
          <w:color w:val="000000" w:themeColor="text1"/>
          <w:sz w:val="26"/>
          <w:szCs w:val="26"/>
          <w:lang w:val="sv-SE"/>
        </w:rPr>
        <w:t>18.5. Kết quả thực hiện thủ tục hành chính:</w:t>
      </w:r>
      <w:r w:rsidRPr="005A7B60">
        <w:rPr>
          <w:rFonts w:cs="Times New Roman"/>
          <w:color w:val="000000" w:themeColor="text1"/>
          <w:sz w:val="26"/>
          <w:szCs w:val="26"/>
          <w:lang w:val="sv-SE"/>
        </w:rPr>
        <w:t xml:space="preserve"> Công văn thẩm định.</w:t>
      </w:r>
    </w:p>
    <w:p w:rsidR="00CA1176" w:rsidRPr="005A7B60" w:rsidRDefault="00CA1176" w:rsidP="00CA1176">
      <w:pPr>
        <w:spacing w:after="120" w:line="240" w:lineRule="auto"/>
        <w:ind w:firstLine="720"/>
        <w:jc w:val="both"/>
        <w:rPr>
          <w:rFonts w:cs="Times New Roman"/>
          <w:color w:val="000000" w:themeColor="text1"/>
          <w:sz w:val="26"/>
          <w:szCs w:val="26"/>
          <w:lang w:val="sv-SE"/>
        </w:rPr>
      </w:pPr>
      <w:r w:rsidRPr="005A7B60">
        <w:rPr>
          <w:rFonts w:cs="Times New Roman"/>
          <w:b/>
          <w:color w:val="000000" w:themeColor="text1"/>
          <w:sz w:val="26"/>
          <w:szCs w:val="26"/>
          <w:lang w:val="sv-SE"/>
        </w:rPr>
        <w:lastRenderedPageBreak/>
        <w:t xml:space="preserve">18.6. Phí, lệ phí: </w:t>
      </w:r>
      <w:r w:rsidRPr="005A7B60">
        <w:rPr>
          <w:rFonts w:cs="Times New Roman"/>
          <w:color w:val="000000" w:themeColor="text1"/>
          <w:sz w:val="26"/>
          <w:szCs w:val="26"/>
          <w:lang w:val="sv-SE"/>
        </w:rPr>
        <w:t>Không</w:t>
      </w:r>
    </w:p>
    <w:p w:rsidR="00CA1176" w:rsidRPr="005A7B60" w:rsidRDefault="00CA1176" w:rsidP="00CA1176">
      <w:pPr>
        <w:spacing w:after="120" w:line="240" w:lineRule="auto"/>
        <w:ind w:firstLine="720"/>
        <w:jc w:val="both"/>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18.7. Tên mẫu đơn, mẫu tờ khai</w:t>
      </w:r>
      <w:r w:rsidRPr="005A7B60">
        <w:rPr>
          <w:rFonts w:eastAsia="Times New Roman" w:cs="Times New Roman"/>
          <w:bCs/>
          <w:color w:val="000000" w:themeColor="text1"/>
          <w:sz w:val="26"/>
          <w:szCs w:val="26"/>
          <w:lang w:val="sv-SE"/>
        </w:rPr>
        <w:t>: Không</w:t>
      </w:r>
    </w:p>
    <w:p w:rsidR="00CA1176" w:rsidRPr="000D5CF1" w:rsidRDefault="00CA1176" w:rsidP="00CA1176">
      <w:pPr>
        <w:spacing w:after="120" w:line="240" w:lineRule="auto"/>
        <w:ind w:firstLine="720"/>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t>18</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CA1176" w:rsidRPr="005A7B60" w:rsidRDefault="00CA1176" w:rsidP="00CA1176">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Người đang trực tiếp tham gia hoạt động chữ thập đỏ là công dân Việt Nam, người nước ngoài được Hội Chữ thập đỏ Việt Nam hoặc Hội Chữ thập đỏ các tỉnh, thành phố trực thuộc Trung ương hướng dẫn tham gia các hoạt động chữ thập đỏ tại Việt Nam theo quy định tại Khoản 1 hoặc Khoản 2 Điều 2 Nghị định số 03/2011/NĐ-CP ngày 07 tháng 01 năm 2011 của Chính phủ quy định chi tiết và biện pháp thi hành Luật Hoạt động chữ thập đỏ;</w:t>
      </w:r>
    </w:p>
    <w:p w:rsidR="00CA1176" w:rsidRPr="005A7B60" w:rsidRDefault="00CA1176" w:rsidP="00CA1176">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Tai nạn dẫn đến thiệt hại về sức khỏe là tai nạn gây tổn thương cho bất kỳ bộ phận, chức năng nào của cơ thể người đang trực tiếp tham gia hoạt động chữ thập đỏ;</w:t>
      </w:r>
    </w:p>
    <w:p w:rsidR="00CA1176" w:rsidRPr="000D5CF1" w:rsidRDefault="00CA1176" w:rsidP="00CA1176">
      <w:pPr>
        <w:spacing w:after="120" w:line="240" w:lineRule="auto"/>
        <w:ind w:firstLine="720"/>
        <w:jc w:val="both"/>
        <w:rPr>
          <w:rFonts w:eastAsia="Times New Roman" w:cs="Times New Roman"/>
          <w:b/>
          <w:bCs/>
          <w:color w:val="000000" w:themeColor="text1"/>
          <w:sz w:val="26"/>
          <w:szCs w:val="26"/>
          <w:lang w:val="hr-HR"/>
        </w:rPr>
      </w:pPr>
      <w:r w:rsidRPr="005A7B60">
        <w:rPr>
          <w:rFonts w:cs="Times New Roman"/>
          <w:color w:val="000000" w:themeColor="text1"/>
          <w:sz w:val="26"/>
          <w:szCs w:val="26"/>
          <w:lang w:val="hr-HR"/>
        </w:rPr>
        <w:t>- Mức hỗ trợ chi phí y tế và thu nhập thực tế căn cứ theo Điều 3 và Điều 4 Thông tư liên tịch số 02/2013/TTLT-BNV-BLĐTBXH-BTC-BYT.</w:t>
      </w:r>
    </w:p>
    <w:p w:rsidR="00CA1176" w:rsidRPr="005A7B60" w:rsidRDefault="00CA1176" w:rsidP="00CA1176">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Pr>
          <w:rFonts w:eastAsia="Times New Roman" w:cs="Times New Roman"/>
          <w:b/>
          <w:bCs/>
          <w:color w:val="000000" w:themeColor="text1"/>
          <w:sz w:val="26"/>
          <w:szCs w:val="26"/>
          <w:lang w:val="hr-HR"/>
        </w:rPr>
        <w:t>18</w:t>
      </w:r>
      <w:r w:rsidRPr="005A7B60">
        <w:rPr>
          <w:rFonts w:eastAsia="Times New Roman" w:cs="Times New Roman"/>
          <w:b/>
          <w:bCs/>
          <w:color w:val="000000" w:themeColor="text1"/>
          <w:sz w:val="26"/>
          <w:szCs w:val="26"/>
          <w:lang w:val="hr-HR"/>
        </w:rPr>
        <w:t xml:space="preserve">.9. Căn cứ pháp lý của thủ tục hành chính: </w:t>
      </w:r>
    </w:p>
    <w:p w:rsidR="00CA1176" w:rsidRPr="005A7B60" w:rsidRDefault="00CA1176" w:rsidP="00CA1176">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Tại Khoản 1, Điều 5 Thông tư liên tịch số 02/2013/TTLT-BNV-BLĐTBXH-BTC-BYT ngày 09 tháng 7 năm 2013 của Bộ trưởng Bộ Nội vụ, Bộ trưởng Bộ Lao động - Thương binh và Xã hội, Bộ trưởng Bộ Tài chính, Bộ trưởng Bộ Y tế hướng dẫn quy trình, thủ tục, hồ sơ, mức hỗ trợ người đang trực tiếp tham gia hoạt động chữ thập đỏ bị tai nạn dẫn đến thiệt hại về sức khỏe.</w:t>
      </w:r>
    </w:p>
    <w:p w:rsidR="00CA1176" w:rsidRPr="000D5CF1" w:rsidRDefault="00CA1176" w:rsidP="00CA1176">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18</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CA1176"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before="60" w:after="6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before="60" w:after="6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before="60" w:after="6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CA1176"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before="60" w:after="6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w:t>
            </w:r>
            <w:r>
              <w:rPr>
                <w:rFonts w:eastAsia="Times New Roman" w:cs="Times New Roman"/>
                <w:color w:val="000000" w:themeColor="text1"/>
                <w:sz w:val="26"/>
                <w:szCs w:val="26"/>
                <w:lang w:val="nl-NL"/>
              </w:rPr>
              <w:t xml:space="preserve"> Như mục 18</w:t>
            </w:r>
            <w:r w:rsidRPr="000D5CF1">
              <w:rPr>
                <w:rFonts w:eastAsia="Times New Roman" w:cs="Times New Roman"/>
                <w:color w:val="000000" w:themeColor="text1"/>
                <w:sz w:val="26"/>
                <w:szCs w:val="26"/>
                <w:lang w:val="nl-NL"/>
              </w:rPr>
              <w:t>.2.</w:t>
            </w:r>
          </w:p>
          <w:p w:rsidR="00CA1176" w:rsidRPr="000D5CF1" w:rsidRDefault="00CA1176" w:rsidP="00FE10CA">
            <w:pPr>
              <w:spacing w:before="60" w:after="6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CA1176" w:rsidRPr="000D5CF1" w:rsidRDefault="00CA1176" w:rsidP="00FE10CA">
            <w:pPr>
              <w:spacing w:before="60" w:after="6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CA1176" w:rsidRPr="000D5CF1" w:rsidRDefault="00CA1176" w:rsidP="00FE10CA">
            <w:pPr>
              <w:spacing w:before="60" w:after="6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before="60" w:after="6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CA1176" w:rsidRPr="000D5CF1" w:rsidRDefault="00CA1176" w:rsidP="00FE10CA">
            <w:pPr>
              <w:spacing w:before="60" w:after="6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huyện</w:t>
            </w:r>
          </w:p>
        </w:tc>
      </w:tr>
      <w:tr w:rsidR="00CA1176"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1176" w:rsidRPr="005A7B60" w:rsidRDefault="00CA1176" w:rsidP="00FE10CA">
            <w:pPr>
              <w:tabs>
                <w:tab w:val="left" w:pos="709"/>
              </w:tabs>
              <w:spacing w:before="60" w:after="6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A1176" w:rsidRPr="000D5CF1" w:rsidRDefault="00CA1176" w:rsidP="00FE10CA">
            <w:pPr>
              <w:spacing w:before="60" w:after="6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CA1176" w:rsidRPr="000D5CF1" w:rsidRDefault="00CA1176" w:rsidP="00FE10CA">
            <w:pPr>
              <w:spacing w:before="60" w:after="6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CA1176" w:rsidRPr="000D5CF1" w:rsidRDefault="00CA1176" w:rsidP="00FE10CA">
            <w:pPr>
              <w:spacing w:before="60" w:after="60" w:line="240" w:lineRule="auto"/>
              <w:rPr>
                <w:rFonts w:eastAsia="Times New Roman" w:cs="Times New Roman"/>
                <w:color w:val="000000" w:themeColor="text1"/>
                <w:sz w:val="26"/>
                <w:szCs w:val="26"/>
                <w:lang w:val="nl-NL"/>
              </w:rPr>
            </w:pPr>
          </w:p>
        </w:tc>
      </w:tr>
    </w:tbl>
    <w:p w:rsidR="00CA1176" w:rsidRPr="00AF1CB0" w:rsidRDefault="00CA1176" w:rsidP="003465D4">
      <w:pPr>
        <w:spacing w:after="120" w:line="240" w:lineRule="auto"/>
        <w:jc w:val="center"/>
        <w:rPr>
          <w:rFonts w:eastAsia="Times New Roman" w:cs="Times New Roman"/>
          <w:b/>
          <w:bCs/>
          <w:color w:val="000000" w:themeColor="text1"/>
          <w:sz w:val="18"/>
          <w:szCs w:val="18"/>
          <w:vertAlign w:val="superscript"/>
        </w:rPr>
      </w:pPr>
    </w:p>
    <w:sectPr w:rsidR="00CA1176"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C7" w:rsidRDefault="003465C7">
      <w:pPr>
        <w:spacing w:after="0" w:line="240" w:lineRule="auto"/>
      </w:pPr>
      <w:r>
        <w:separator/>
      </w:r>
    </w:p>
  </w:endnote>
  <w:endnote w:type="continuationSeparator" w:id="0">
    <w:p w:rsidR="003465C7" w:rsidRDefault="0034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C7" w:rsidRDefault="003465C7">
      <w:pPr>
        <w:spacing w:after="0" w:line="240" w:lineRule="auto"/>
      </w:pPr>
      <w:r>
        <w:separator/>
      </w:r>
    </w:p>
  </w:footnote>
  <w:footnote w:type="continuationSeparator" w:id="0">
    <w:p w:rsidR="003465C7" w:rsidRDefault="00346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C7"/>
    <w:rsid w:val="003465D4"/>
    <w:rsid w:val="00470D0C"/>
    <w:rsid w:val="0058198A"/>
    <w:rsid w:val="006F7FB9"/>
    <w:rsid w:val="00724039"/>
    <w:rsid w:val="007F350B"/>
    <w:rsid w:val="008E70F2"/>
    <w:rsid w:val="00A152E3"/>
    <w:rsid w:val="00BE39D1"/>
    <w:rsid w:val="00C279E9"/>
    <w:rsid w:val="00C47708"/>
    <w:rsid w:val="00CA1176"/>
    <w:rsid w:val="00CA34BD"/>
    <w:rsid w:val="00DA312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2021-10-26T07:57:00Z</dcterms:created>
  <dcterms:modified xsi:type="dcterms:W3CDTF">2022-08-01T09:42:00Z</dcterms:modified>
</cp:coreProperties>
</file>