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E87051" w:rsidRPr="006F4C55" w:rsidRDefault="00E87051" w:rsidP="00E87051">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E87051" w:rsidRPr="006F4C55" w:rsidRDefault="00E87051" w:rsidP="00E87051">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E87051" w:rsidRPr="006C665C" w:rsidRDefault="00E87051" w:rsidP="00E87051">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E87051" w:rsidRDefault="00E87051" w:rsidP="00E87051">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E87051" w:rsidRPr="00903852" w:rsidRDefault="00E87051" w:rsidP="00E87051">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A102FD" w:rsidRPr="005A7B60" w:rsidRDefault="00A102FD" w:rsidP="00A102FD">
      <w:pPr>
        <w:spacing w:after="120" w:line="240" w:lineRule="auto"/>
        <w:ind w:firstLine="720"/>
        <w:jc w:val="both"/>
        <w:rPr>
          <w:rFonts w:cs="Times New Roman"/>
          <w:b/>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 xml:space="preserve">19. </w:t>
      </w:r>
      <w:r w:rsidRPr="005A7B60">
        <w:rPr>
          <w:rFonts w:cs="Times New Roman"/>
          <w:b/>
          <w:bCs/>
          <w:color w:val="000000" w:themeColor="text1"/>
          <w:sz w:val="26"/>
          <w:szCs w:val="26"/>
          <w:lang w:val="nl-NL"/>
        </w:rPr>
        <w:t xml:space="preserve">Thủ tục xem xét, chi trả chi phí cho người đang trực tiếp tham gia hoạt động chữ thập đỏ bị tai nạn dẫn đến thiệt hại về sức khỏe - </w:t>
      </w:r>
      <w:r w:rsidRPr="005A7B60">
        <w:rPr>
          <w:rFonts w:eastAsia="Times New Roman" w:cs="Times New Roman"/>
          <w:b/>
          <w:color w:val="000000"/>
          <w:sz w:val="26"/>
          <w:szCs w:val="26"/>
          <w:lang w:val="nl-NL"/>
        </w:rPr>
        <w:t>1.005201</w:t>
      </w:r>
    </w:p>
    <w:p w:rsidR="00A102FD" w:rsidRPr="000D5CF1" w:rsidRDefault="00A102FD" w:rsidP="00A102FD">
      <w:pPr>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19</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1028" w:type="dxa"/>
        <w:tblInd w:w="-885" w:type="dxa"/>
        <w:tblLook w:val="04A0" w:firstRow="1" w:lastRow="0" w:firstColumn="1" w:lastColumn="0" w:noHBand="0" w:noVBand="1"/>
      </w:tblPr>
      <w:tblGrid>
        <w:gridCol w:w="851"/>
        <w:gridCol w:w="1843"/>
        <w:gridCol w:w="5529"/>
        <w:gridCol w:w="2127"/>
        <w:gridCol w:w="678"/>
      </w:tblGrid>
      <w:tr w:rsidR="00A102FD"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843" w:type="dxa"/>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w:t>
            </w:r>
          </w:p>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 thực hiện</w:t>
            </w:r>
          </w:p>
        </w:tc>
        <w:tc>
          <w:tcPr>
            <w:tcW w:w="5529" w:type="dxa"/>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78" w:type="dxa"/>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A102FD" w:rsidRPr="005A7B60" w:rsidTr="00FE10CA">
        <w:trPr>
          <w:trHeight w:val="234"/>
        </w:trPr>
        <w:tc>
          <w:tcPr>
            <w:tcW w:w="851" w:type="dxa"/>
            <w:tcBorders>
              <w:top w:val="single" w:sz="4" w:space="0" w:color="auto"/>
            </w:tcBorders>
            <w:vAlign w:val="center"/>
          </w:tcPr>
          <w:p w:rsidR="00A102FD" w:rsidRPr="000D5CF1" w:rsidRDefault="00A102F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843" w:type="dxa"/>
            <w:tcBorders>
              <w:top w:val="single" w:sz="4" w:space="0" w:color="auto"/>
            </w:tcBorders>
            <w:vAlign w:val="center"/>
          </w:tcPr>
          <w:p w:rsidR="00A102FD" w:rsidRPr="000D5CF1" w:rsidRDefault="00A102F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529" w:type="dxa"/>
            <w:tcBorders>
              <w:top w:val="single" w:sz="4" w:space="0" w:color="auto"/>
            </w:tcBorders>
            <w:vAlign w:val="center"/>
          </w:tcPr>
          <w:p w:rsidR="00A102FD" w:rsidRPr="000D5CF1" w:rsidRDefault="00A102FD" w:rsidP="00FE10CA">
            <w:pPr>
              <w:spacing w:after="120"/>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A102FD" w:rsidRPr="000D5CF1" w:rsidRDefault="00A102FD" w:rsidP="00FE10CA">
            <w:pPr>
              <w:spacing w:after="120"/>
              <w:rPr>
                <w:color w:val="000000" w:themeColor="text1"/>
                <w:sz w:val="26"/>
                <w:szCs w:val="26"/>
              </w:rPr>
            </w:pPr>
            <w:r w:rsidRPr="000D5CF1">
              <w:rPr>
                <w:color w:val="000000" w:themeColor="text1"/>
                <w:sz w:val="26"/>
                <w:szCs w:val="26"/>
              </w:rPr>
              <w:t>2. Hoặc thông qua dịch vụ bưu chính công ích.</w:t>
            </w:r>
          </w:p>
          <w:p w:rsidR="00A102FD" w:rsidRPr="000D5CF1" w:rsidRDefault="00A102FD" w:rsidP="00FE10CA">
            <w:pPr>
              <w:spacing w:after="120"/>
              <w:rPr>
                <w:rFonts w:eastAsia="Times New Roman"/>
                <w:i/>
                <w:color w:val="000000" w:themeColor="text1"/>
                <w:sz w:val="26"/>
                <w:szCs w:val="26"/>
                <w:lang w:val="vi-VN"/>
              </w:rPr>
            </w:pPr>
            <w:r w:rsidRPr="000D5CF1">
              <w:rPr>
                <w:color w:val="000000" w:themeColor="text1"/>
                <w:sz w:val="26"/>
                <w:szCs w:val="26"/>
              </w:rPr>
              <w:t>3. Nộp trực tuyến mức độ 3 tại website cổng Dịch vụ công của tỉnh Đồng Tháp: http://dichvucong.dongthap.gov.vn.</w:t>
            </w:r>
          </w:p>
        </w:tc>
        <w:tc>
          <w:tcPr>
            <w:tcW w:w="2127" w:type="dxa"/>
            <w:tcBorders>
              <w:top w:val="single" w:sz="4" w:space="0" w:color="auto"/>
            </w:tcBorders>
            <w:vAlign w:val="center"/>
          </w:tcPr>
          <w:p w:rsidR="00A102FD" w:rsidRPr="005A7B60" w:rsidRDefault="00A102FD" w:rsidP="00FE10CA">
            <w:pPr>
              <w:spacing w:after="120"/>
              <w:jc w:val="center"/>
              <w:rPr>
                <w:rFonts w:eastAsia="Times New Roman"/>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78" w:type="dxa"/>
            <w:tcBorders>
              <w:top w:val="single" w:sz="4" w:space="0" w:color="auto"/>
            </w:tcBorders>
            <w:vAlign w:val="center"/>
          </w:tcPr>
          <w:p w:rsidR="00A102FD" w:rsidRPr="000D5CF1" w:rsidRDefault="00A102FD" w:rsidP="00FE10CA">
            <w:pPr>
              <w:spacing w:after="120"/>
              <w:jc w:val="center"/>
              <w:rPr>
                <w:rFonts w:eastAsia="Times New Roman"/>
                <w:i/>
                <w:color w:val="000000" w:themeColor="text1"/>
                <w:sz w:val="26"/>
                <w:szCs w:val="26"/>
                <w:lang w:val="vi-VN"/>
              </w:rPr>
            </w:pPr>
          </w:p>
        </w:tc>
      </w:tr>
      <w:tr w:rsidR="00A102FD" w:rsidRPr="000D5CF1" w:rsidTr="00FE10CA">
        <w:trPr>
          <w:trHeight w:val="600"/>
        </w:trPr>
        <w:tc>
          <w:tcPr>
            <w:tcW w:w="851" w:type="dxa"/>
            <w:vAlign w:val="center"/>
          </w:tcPr>
          <w:p w:rsidR="00A102FD" w:rsidRPr="000D5CF1" w:rsidRDefault="00A102F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1843" w:type="dxa"/>
            <w:vAlign w:val="center"/>
          </w:tcPr>
          <w:p w:rsidR="00A102FD" w:rsidRPr="000D5CF1" w:rsidRDefault="00A102F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529" w:type="dxa"/>
          </w:tcPr>
          <w:p w:rsidR="00A102FD" w:rsidRPr="000D5CF1" w:rsidRDefault="00A102F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102FD" w:rsidRPr="000D5CF1" w:rsidRDefault="00A102F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102FD" w:rsidRPr="000D5CF1" w:rsidRDefault="00A102F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102FD" w:rsidRPr="000D5CF1" w:rsidRDefault="00A102F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w:t>
            </w:r>
            <w:r w:rsidRPr="000D5CF1">
              <w:rPr>
                <w:rFonts w:eastAsia="Times New Roman"/>
                <w:color w:val="000000" w:themeColor="text1"/>
                <w:sz w:val="26"/>
                <w:szCs w:val="26"/>
              </w:rPr>
              <w:lastRenderedPageBreak/>
              <w:t>quả; đồng thời, chuyển cho cơ quan có thẩm quyền để giải quyết theo quy trình.</w:t>
            </w:r>
          </w:p>
        </w:tc>
        <w:tc>
          <w:tcPr>
            <w:tcW w:w="2127" w:type="dxa"/>
            <w:vAlign w:val="center"/>
          </w:tcPr>
          <w:p w:rsidR="00A102FD" w:rsidRPr="000D5CF1" w:rsidRDefault="00A102FD"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78" w:type="dxa"/>
            <w:vAlign w:val="center"/>
          </w:tcPr>
          <w:p w:rsidR="00A102FD" w:rsidRPr="000D5CF1" w:rsidRDefault="00A102FD" w:rsidP="00FE10CA">
            <w:pPr>
              <w:spacing w:after="120"/>
              <w:jc w:val="center"/>
              <w:rPr>
                <w:rFonts w:eastAsia="Times New Roman"/>
                <w:i/>
                <w:color w:val="000000" w:themeColor="text1"/>
                <w:sz w:val="26"/>
                <w:szCs w:val="26"/>
                <w:lang w:val="vi-VN"/>
              </w:rPr>
            </w:pPr>
          </w:p>
        </w:tc>
      </w:tr>
      <w:tr w:rsidR="00A102FD" w:rsidRPr="000D5CF1" w:rsidTr="00FE10CA">
        <w:tc>
          <w:tcPr>
            <w:tcW w:w="851" w:type="dxa"/>
            <w:vMerge w:val="restart"/>
            <w:vAlign w:val="center"/>
          </w:tcPr>
          <w:p w:rsidR="00A102FD" w:rsidRPr="000D5CF1" w:rsidRDefault="00A102F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1843" w:type="dxa"/>
            <w:vMerge w:val="restart"/>
            <w:vAlign w:val="center"/>
          </w:tcPr>
          <w:p w:rsidR="00A102FD" w:rsidRPr="000D5CF1" w:rsidRDefault="00A102FD"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529" w:type="dxa"/>
          </w:tcPr>
          <w:p w:rsidR="00A102FD" w:rsidRPr="000D5CF1" w:rsidRDefault="00A102F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127" w:type="dxa"/>
            <w:vAlign w:val="center"/>
          </w:tcPr>
          <w:p w:rsidR="00A102FD" w:rsidRPr="000D5CF1" w:rsidRDefault="00A102FD"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20 ngày làm việc</w:t>
            </w:r>
            <w:r w:rsidRPr="000D5CF1">
              <w:rPr>
                <w:rFonts w:eastAsia="Times New Roman"/>
                <w:color w:val="000000" w:themeColor="text1"/>
                <w:sz w:val="26"/>
                <w:szCs w:val="26"/>
              </w:rPr>
              <w:t xml:space="preserve">, </w:t>
            </w:r>
          </w:p>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78" w:type="dxa"/>
            <w:vAlign w:val="center"/>
          </w:tcPr>
          <w:p w:rsidR="00A102FD" w:rsidRPr="000D5CF1" w:rsidRDefault="00A102FD" w:rsidP="00FE10CA">
            <w:pPr>
              <w:spacing w:after="120"/>
              <w:jc w:val="center"/>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tcPr>
          <w:p w:rsidR="00A102FD" w:rsidRPr="000D5CF1" w:rsidRDefault="00A102FD"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127" w:type="dxa"/>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tcPr>
          <w:p w:rsidR="00A102FD" w:rsidRPr="000D5CF1" w:rsidRDefault="00A102FD"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127" w:type="dxa"/>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19,5 ngày làm việc</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tcPr>
          <w:p w:rsidR="00A102FD" w:rsidRPr="000D5CF1" w:rsidRDefault="00A102F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A102FD" w:rsidRPr="000D5CF1" w:rsidRDefault="00A102F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A102FD" w:rsidRPr="000D5CF1" w:rsidRDefault="00A102F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A102FD" w:rsidRPr="000D5CF1" w:rsidRDefault="00A102FD"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rsidR="00A102FD" w:rsidRPr="000D5CF1" w:rsidRDefault="00A102FD"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19,5 ngày làm việc </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vAlign w:val="center"/>
          </w:tcPr>
          <w:p w:rsidR="00A102FD" w:rsidRPr="000D5CF1" w:rsidRDefault="00A102FD"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127" w:type="dxa"/>
            <w:vAlign w:val="center"/>
          </w:tcPr>
          <w:p w:rsidR="00A102FD" w:rsidRPr="000D5CF1" w:rsidRDefault="00A102FD"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tcPr>
          <w:p w:rsidR="00A102FD" w:rsidRPr="000D5CF1" w:rsidRDefault="00A102FD"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127" w:type="dxa"/>
            <w:vAlign w:val="center"/>
          </w:tcPr>
          <w:p w:rsidR="00A102FD" w:rsidRPr="000D5CF1" w:rsidRDefault="00A102FD" w:rsidP="00FE10CA">
            <w:pPr>
              <w:spacing w:after="120"/>
              <w:jc w:val="center"/>
              <w:rPr>
                <w:rFonts w:eastAsia="Times New Roman"/>
                <w:bCs/>
                <w:i/>
                <w:color w:val="000000" w:themeColor="text1"/>
                <w:sz w:val="26"/>
                <w:szCs w:val="26"/>
              </w:rPr>
            </w:pPr>
            <w:r w:rsidRPr="000D5CF1">
              <w:rPr>
                <w:color w:val="000000" w:themeColor="text1"/>
                <w:spacing w:val="-4"/>
                <w:sz w:val="26"/>
                <w:szCs w:val="26"/>
              </w:rPr>
              <w:t xml:space="preserve"> 11 ngày làm việc</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tcPr>
          <w:p w:rsidR="00A102FD" w:rsidRPr="000D5CF1" w:rsidRDefault="00A102FD"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127" w:type="dxa"/>
            <w:vAlign w:val="center"/>
          </w:tcPr>
          <w:p w:rsidR="00A102FD" w:rsidRPr="000D5CF1" w:rsidRDefault="00A102FD" w:rsidP="00FE10CA">
            <w:pPr>
              <w:spacing w:after="120"/>
              <w:jc w:val="center"/>
              <w:rPr>
                <w:color w:val="000000" w:themeColor="text1"/>
                <w:spacing w:val="-4"/>
                <w:sz w:val="26"/>
                <w:szCs w:val="26"/>
              </w:rPr>
            </w:pPr>
            <w:r w:rsidRPr="000D5CF1">
              <w:rPr>
                <w:color w:val="000000" w:themeColor="text1"/>
                <w:spacing w:val="-4"/>
                <w:sz w:val="26"/>
                <w:szCs w:val="26"/>
              </w:rPr>
              <w:t>05 ngày làm việc</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tcPr>
          <w:p w:rsidR="00A102FD" w:rsidRPr="000D5CF1" w:rsidRDefault="00A102FD" w:rsidP="00FE10CA">
            <w:pPr>
              <w:spacing w:after="120"/>
              <w:jc w:val="both"/>
              <w:rPr>
                <w:color w:val="000000" w:themeColor="text1"/>
                <w:spacing w:val="-4"/>
                <w:sz w:val="26"/>
                <w:szCs w:val="26"/>
              </w:rPr>
            </w:pPr>
            <w:r w:rsidRPr="000D5CF1">
              <w:rPr>
                <w:color w:val="000000" w:themeColor="text1"/>
                <w:spacing w:val="-4"/>
                <w:sz w:val="26"/>
                <w:szCs w:val="26"/>
              </w:rPr>
              <w:t>Lãnh đạo Huyện, thị xã, thành phố</w:t>
            </w:r>
          </w:p>
        </w:tc>
        <w:tc>
          <w:tcPr>
            <w:tcW w:w="2127" w:type="dxa"/>
            <w:vAlign w:val="center"/>
          </w:tcPr>
          <w:p w:rsidR="00A102FD" w:rsidRPr="000D5CF1" w:rsidRDefault="00A102FD"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Merge/>
          </w:tcPr>
          <w:p w:rsidR="00A102FD" w:rsidRPr="000D5CF1" w:rsidRDefault="00A102FD" w:rsidP="00FE10CA">
            <w:pPr>
              <w:spacing w:after="120"/>
              <w:jc w:val="both"/>
              <w:rPr>
                <w:rFonts w:eastAsia="Times New Roman"/>
                <w:b/>
                <w:color w:val="000000" w:themeColor="text1"/>
                <w:sz w:val="26"/>
                <w:szCs w:val="26"/>
              </w:rPr>
            </w:pPr>
          </w:p>
        </w:tc>
        <w:tc>
          <w:tcPr>
            <w:tcW w:w="1843" w:type="dxa"/>
            <w:vMerge/>
          </w:tcPr>
          <w:p w:rsidR="00A102FD" w:rsidRPr="000D5CF1" w:rsidRDefault="00A102FD" w:rsidP="00FE10CA">
            <w:pPr>
              <w:spacing w:after="120"/>
              <w:jc w:val="both"/>
              <w:rPr>
                <w:rFonts w:eastAsia="Times New Roman"/>
                <w:b/>
                <w:color w:val="000000" w:themeColor="text1"/>
                <w:sz w:val="26"/>
                <w:szCs w:val="26"/>
              </w:rPr>
            </w:pPr>
          </w:p>
        </w:tc>
        <w:tc>
          <w:tcPr>
            <w:tcW w:w="5529" w:type="dxa"/>
          </w:tcPr>
          <w:p w:rsidR="00A102FD" w:rsidRPr="000D5CF1" w:rsidRDefault="00A102FD"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127" w:type="dxa"/>
            <w:vAlign w:val="center"/>
          </w:tcPr>
          <w:p w:rsidR="00A102FD" w:rsidRPr="000D5CF1" w:rsidRDefault="00A102FD"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78" w:type="dxa"/>
          </w:tcPr>
          <w:p w:rsidR="00A102FD" w:rsidRPr="000D5CF1" w:rsidRDefault="00A102FD" w:rsidP="00FE10CA">
            <w:pPr>
              <w:spacing w:after="120"/>
              <w:jc w:val="both"/>
              <w:rPr>
                <w:rFonts w:eastAsia="Times New Roman"/>
                <w:b/>
                <w:color w:val="000000" w:themeColor="text1"/>
                <w:sz w:val="26"/>
                <w:szCs w:val="26"/>
              </w:rPr>
            </w:pPr>
          </w:p>
        </w:tc>
      </w:tr>
      <w:tr w:rsidR="00A102FD" w:rsidRPr="000D5CF1" w:rsidTr="00FE10CA">
        <w:tc>
          <w:tcPr>
            <w:tcW w:w="851" w:type="dxa"/>
            <w:vAlign w:val="center"/>
          </w:tcPr>
          <w:p w:rsidR="00A102FD" w:rsidRPr="000D5CF1" w:rsidRDefault="00A102F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 xml:space="preserve">Bước </w:t>
            </w:r>
            <w:r w:rsidRPr="000D5CF1">
              <w:rPr>
                <w:rFonts w:eastAsia="Times New Roman"/>
                <w:color w:val="000000" w:themeColor="text1"/>
                <w:sz w:val="26"/>
                <w:szCs w:val="26"/>
              </w:rPr>
              <w:lastRenderedPageBreak/>
              <w:t>4</w:t>
            </w:r>
          </w:p>
        </w:tc>
        <w:tc>
          <w:tcPr>
            <w:tcW w:w="1843" w:type="dxa"/>
            <w:vAlign w:val="center"/>
          </w:tcPr>
          <w:p w:rsidR="00A102FD" w:rsidRPr="000D5CF1" w:rsidRDefault="00A102FD"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lastRenderedPageBreak/>
              <w:t xml:space="preserve">Trả kết quả giải quyết thủ </w:t>
            </w:r>
            <w:r w:rsidRPr="000D5CF1">
              <w:rPr>
                <w:rFonts w:eastAsia="Times New Roman"/>
                <w:color w:val="000000" w:themeColor="text1"/>
                <w:sz w:val="26"/>
                <w:szCs w:val="26"/>
                <w:lang w:val="nl-NL"/>
              </w:rPr>
              <w:lastRenderedPageBreak/>
              <w:t>tục hành chính</w:t>
            </w:r>
          </w:p>
          <w:p w:rsidR="00A102FD" w:rsidRPr="000D5CF1" w:rsidRDefault="00A102FD" w:rsidP="00FE10CA">
            <w:pPr>
              <w:spacing w:after="120"/>
              <w:jc w:val="center"/>
              <w:rPr>
                <w:rFonts w:eastAsia="Times New Roman"/>
                <w:color w:val="000000" w:themeColor="text1"/>
                <w:sz w:val="26"/>
                <w:szCs w:val="26"/>
              </w:rPr>
            </w:pPr>
          </w:p>
        </w:tc>
        <w:tc>
          <w:tcPr>
            <w:tcW w:w="5529" w:type="dxa"/>
          </w:tcPr>
          <w:p w:rsidR="00A102FD" w:rsidRPr="000D5CF1" w:rsidRDefault="00A102F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lastRenderedPageBreak/>
              <w:t xml:space="preserve">Công chức tiếp nhận và trả  kết quả nhập vào sổ theo dõi hồ sơ và phần mềm điện tử thực hiện như </w:t>
            </w:r>
            <w:r w:rsidRPr="000D5CF1">
              <w:rPr>
                <w:rFonts w:eastAsia="Times New Roman"/>
                <w:iCs/>
                <w:color w:val="000000" w:themeColor="text1"/>
                <w:sz w:val="26"/>
                <w:szCs w:val="26"/>
                <w:lang w:val="nl-NL"/>
              </w:rPr>
              <w:lastRenderedPageBreak/>
              <w:t>sau:</w:t>
            </w:r>
          </w:p>
          <w:p w:rsidR="00A102FD" w:rsidRPr="000D5CF1" w:rsidRDefault="00A102F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102FD" w:rsidRPr="000D5CF1" w:rsidRDefault="00A102F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102FD" w:rsidRPr="000D5CF1" w:rsidRDefault="00A102F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A102FD" w:rsidRPr="000D5CF1" w:rsidRDefault="00A102F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127" w:type="dxa"/>
            <w:vAlign w:val="center"/>
          </w:tcPr>
          <w:p w:rsidR="00A102FD" w:rsidRPr="000D5CF1" w:rsidRDefault="00A102FD"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78" w:type="dxa"/>
          </w:tcPr>
          <w:p w:rsidR="00A102FD" w:rsidRPr="000D5CF1" w:rsidRDefault="00A102FD" w:rsidP="00FE10CA">
            <w:pPr>
              <w:spacing w:after="120"/>
              <w:jc w:val="both"/>
              <w:rPr>
                <w:rFonts w:eastAsia="Times New Roman"/>
                <w:color w:val="000000" w:themeColor="text1"/>
                <w:sz w:val="26"/>
                <w:szCs w:val="26"/>
                <w:lang w:val="vi-VN"/>
              </w:rPr>
            </w:pPr>
          </w:p>
        </w:tc>
      </w:tr>
    </w:tbl>
    <w:p w:rsidR="00A102FD" w:rsidRPr="000D5CF1" w:rsidRDefault="00A102FD" w:rsidP="00A102FD">
      <w:pPr>
        <w:shd w:val="clear" w:color="auto" w:fill="FFFFFF"/>
        <w:spacing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19</w:t>
      </w:r>
      <w:r w:rsidRPr="000D5CF1">
        <w:rPr>
          <w:rFonts w:eastAsia="Times New Roman" w:cs="Times New Roman"/>
          <w:b/>
          <w:bCs/>
          <w:color w:val="000000" w:themeColor="text1"/>
          <w:sz w:val="26"/>
          <w:szCs w:val="26"/>
        </w:rPr>
        <w:t>.2. Thành phần, số lượng hồ sơ</w:t>
      </w:r>
    </w:p>
    <w:p w:rsidR="00A102FD" w:rsidRPr="000D5CF1" w:rsidRDefault="00A102FD" w:rsidP="00A102FD">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A102FD" w:rsidRPr="000D5CF1" w:rsidRDefault="00A102FD" w:rsidP="00A102FD">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Giấy ra viện, hóa đơn thanh toán chi phí khám bệnh, chữa bệnh và những chi phí không nằm trong danh mục do bảo hiểm chi trả với người lao động tham gia bảo hiểm y tế;</w:t>
      </w:r>
    </w:p>
    <w:p w:rsidR="00A102FD" w:rsidRPr="000D5CF1" w:rsidRDefault="00A102FD" w:rsidP="00A102FD">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Văn bản, giấy tờ hợp lệ về thu nhập thực tế theo tiền lương, tiền công hằng tháng của người bị tai nạn có xác nhận của tổ chức hoặc cá nhân sử dụng lao động gồm: Hợp đồng lao động, quyết định nâng lương của tổ chức hoặc cá nhân sử dụng lao động hoặc bản kê có thu nhập thực tế của người bị tai nạn và các giấy tờ chứng minh thu nhập thực tế hợp pháp khác (nếu có).</w:t>
      </w:r>
    </w:p>
    <w:p w:rsidR="00A102FD" w:rsidRPr="000D5CF1" w:rsidRDefault="00A102FD" w:rsidP="00A102FD">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Văn bản thẩm định của Phòng Lao động - Thương binh và Xã hội (Hội Chữ thập đỏ quản lý người bị nạn có trách nhiệm gửi hồ sơ đề nghị thẩm định sang Phòng Lao động - Thương binh và Xã hội).</w:t>
      </w:r>
    </w:p>
    <w:p w:rsidR="00A102FD" w:rsidRPr="000D5CF1" w:rsidRDefault="00A102FD" w:rsidP="00A102FD">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01 bộ (bản chính).</w:t>
      </w:r>
    </w:p>
    <w:p w:rsidR="00A102FD" w:rsidRPr="005A7B60" w:rsidRDefault="00A102FD" w:rsidP="00A102FD">
      <w:pPr>
        <w:spacing w:after="120" w:line="240" w:lineRule="auto"/>
        <w:ind w:firstLine="720"/>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19.3. Đối tượng thực hiện thủ tục hành chính: </w:t>
      </w:r>
      <w:r w:rsidRPr="005A7B60">
        <w:rPr>
          <w:rFonts w:cs="Times New Roman"/>
          <w:color w:val="000000" w:themeColor="text1"/>
          <w:sz w:val="26"/>
          <w:szCs w:val="26"/>
          <w:lang w:val="sv-SE"/>
        </w:rPr>
        <w:t>Công dân Việt Nam, người nước ngoài đang trực tiếp tham gia hoạt động chữ thập đỏ tại Việt Nam bị tai nạn dẫn đến thiệt hại về sức khỏe.</w:t>
      </w:r>
    </w:p>
    <w:p w:rsidR="00A102FD" w:rsidRPr="005A7B60" w:rsidRDefault="00A102FD" w:rsidP="00A102FD">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19.4. Cơ quan giải quyết thủ tục hành chính</w:t>
      </w:r>
      <w:r w:rsidRPr="005A7B60">
        <w:rPr>
          <w:rFonts w:eastAsia="Times New Roman" w:cs="Times New Roman"/>
          <w:color w:val="000000" w:themeColor="text1"/>
          <w:sz w:val="26"/>
          <w:szCs w:val="26"/>
          <w:lang w:val="sv-SE"/>
        </w:rPr>
        <w:t>: UBND cấp huyện</w:t>
      </w:r>
    </w:p>
    <w:p w:rsidR="00A102FD" w:rsidRPr="005A7B60" w:rsidRDefault="00A102FD" w:rsidP="00A102FD">
      <w:pPr>
        <w:spacing w:after="120" w:line="240" w:lineRule="auto"/>
        <w:ind w:firstLine="720"/>
        <w:jc w:val="both"/>
        <w:rPr>
          <w:rFonts w:cs="Times New Roman"/>
          <w:color w:val="000000" w:themeColor="text1"/>
          <w:sz w:val="26"/>
          <w:szCs w:val="26"/>
          <w:lang w:val="sv-SE"/>
        </w:rPr>
      </w:pPr>
      <w:r w:rsidRPr="005A7B60">
        <w:rPr>
          <w:rFonts w:cs="Times New Roman"/>
          <w:b/>
          <w:color w:val="000000" w:themeColor="text1"/>
          <w:sz w:val="26"/>
          <w:szCs w:val="26"/>
          <w:lang w:val="sv-SE"/>
        </w:rPr>
        <w:t>19.5. Kết quả thực hiện thủ tục hành chính:</w:t>
      </w:r>
      <w:r w:rsidRPr="005A7B60">
        <w:rPr>
          <w:rFonts w:cs="Times New Roman"/>
          <w:color w:val="000000" w:themeColor="text1"/>
          <w:sz w:val="26"/>
          <w:szCs w:val="26"/>
          <w:lang w:val="sv-SE"/>
        </w:rPr>
        <w:t xml:space="preserve"> Hội Chữ thập đỏ xem xét, chi trả chi phí. Trường hợp không đồng ý phải có văn bản trả lời nêu rõ lý do.</w:t>
      </w:r>
    </w:p>
    <w:p w:rsidR="00A102FD" w:rsidRPr="005A7B60" w:rsidRDefault="00A102FD" w:rsidP="00A102FD">
      <w:pPr>
        <w:spacing w:after="120" w:line="240" w:lineRule="auto"/>
        <w:ind w:firstLine="720"/>
        <w:jc w:val="both"/>
        <w:rPr>
          <w:rFonts w:cs="Times New Roman"/>
          <w:color w:val="000000" w:themeColor="text1"/>
          <w:sz w:val="26"/>
          <w:szCs w:val="26"/>
          <w:lang w:val="sv-SE"/>
        </w:rPr>
      </w:pPr>
      <w:r w:rsidRPr="005A7B60">
        <w:rPr>
          <w:rFonts w:cs="Times New Roman"/>
          <w:color w:val="000000" w:themeColor="text1"/>
          <w:sz w:val="26"/>
          <w:szCs w:val="26"/>
          <w:lang w:val="sv-SE"/>
        </w:rPr>
        <w:t xml:space="preserve"> </w:t>
      </w:r>
      <w:r w:rsidRPr="005A7B60">
        <w:rPr>
          <w:rFonts w:cs="Times New Roman"/>
          <w:b/>
          <w:color w:val="000000" w:themeColor="text1"/>
          <w:sz w:val="26"/>
          <w:szCs w:val="26"/>
          <w:lang w:val="sv-SE"/>
        </w:rPr>
        <w:t xml:space="preserve">19.6. Phí, lệ phí: </w:t>
      </w:r>
      <w:r w:rsidRPr="005A7B60">
        <w:rPr>
          <w:rFonts w:cs="Times New Roman"/>
          <w:color w:val="000000" w:themeColor="text1"/>
          <w:sz w:val="26"/>
          <w:szCs w:val="26"/>
          <w:lang w:val="sv-SE"/>
        </w:rPr>
        <w:t>Không</w:t>
      </w:r>
    </w:p>
    <w:p w:rsidR="00A102FD" w:rsidRPr="005A7B60" w:rsidRDefault="00A102FD" w:rsidP="00A102FD">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lastRenderedPageBreak/>
        <w:t>19.7. Tên mẫu đơn, mẫu tờ khai</w:t>
      </w:r>
      <w:r w:rsidRPr="005A7B60">
        <w:rPr>
          <w:rFonts w:eastAsia="Times New Roman" w:cs="Times New Roman"/>
          <w:bCs/>
          <w:color w:val="000000" w:themeColor="text1"/>
          <w:sz w:val="26"/>
          <w:szCs w:val="26"/>
          <w:lang w:val="sv-SE"/>
        </w:rPr>
        <w:t>: Không</w:t>
      </w:r>
    </w:p>
    <w:p w:rsidR="00A102FD" w:rsidRPr="000D5CF1" w:rsidRDefault="00A102FD" w:rsidP="00A102FD">
      <w:pPr>
        <w:spacing w:after="120" w:line="240" w:lineRule="auto"/>
        <w:ind w:firstLine="720"/>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19</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A102FD" w:rsidRPr="005A7B60" w:rsidRDefault="00A102FD" w:rsidP="00A102F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Người đang trực tiếp tham gia hoạt động chữ thập đỏ là công dân Việt Nam, người nước ngoài được Hội Chữ thập đỏ Việt Nam hoặc Hội Chữ thập đỏ các tỉnh, thành phố trực thuộc Trung ương hướng dẫn tham gia các hoạt động chữ thập đỏ tại Việt Nam theo quy định tại Khoản 1 hoặc Khoản 2 Điều 2 Nghị định số 03/2011/NĐ-CP ngày 07 tháng 01 năm 2011 của Chính phủ quy định chi tiết và biện pháp thi hành Luật Hoạt động chữ thập đỏ;</w:t>
      </w:r>
    </w:p>
    <w:p w:rsidR="00A102FD" w:rsidRPr="005A7B60" w:rsidRDefault="00A102FD" w:rsidP="00A102F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Tai nạn dẫn đến thiệt hại về sức khỏe là tai nạn gây tổn thương cho bất kỳ bộ phận, chức năng nào của cơ thể người đang trực tiếp tham gia hoạt động chữ thập đỏ;</w:t>
      </w:r>
    </w:p>
    <w:p w:rsidR="00A102FD" w:rsidRPr="000D5CF1" w:rsidRDefault="00A102FD" w:rsidP="00A102FD">
      <w:pPr>
        <w:spacing w:after="120" w:line="240" w:lineRule="auto"/>
        <w:ind w:firstLine="720"/>
        <w:jc w:val="both"/>
        <w:rPr>
          <w:rFonts w:eastAsia="Times New Roman" w:cs="Times New Roman"/>
          <w:b/>
          <w:bCs/>
          <w:color w:val="000000" w:themeColor="text1"/>
          <w:sz w:val="26"/>
          <w:szCs w:val="26"/>
          <w:lang w:val="hr-HR"/>
        </w:rPr>
      </w:pPr>
      <w:r w:rsidRPr="005A7B60">
        <w:rPr>
          <w:rFonts w:cs="Times New Roman"/>
          <w:color w:val="000000" w:themeColor="text1"/>
          <w:sz w:val="26"/>
          <w:szCs w:val="26"/>
          <w:lang w:val="hr-HR"/>
        </w:rPr>
        <w:t>- Mức hỗ trợ chi phí y tế và thu nhập thực tế căn cứ theo Điều 3 và Điều 4 Thông tư liên tịch số 02/2013/TTLT-BNV-BLĐTBXH-BTC-BYT.</w:t>
      </w:r>
    </w:p>
    <w:p w:rsidR="00A102FD" w:rsidRPr="005A7B60" w:rsidRDefault="00A102FD" w:rsidP="00A102FD">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sidRPr="005A7B60">
        <w:rPr>
          <w:rFonts w:eastAsia="Times New Roman" w:cs="Times New Roman"/>
          <w:b/>
          <w:bCs/>
          <w:color w:val="000000" w:themeColor="text1"/>
          <w:sz w:val="26"/>
          <w:szCs w:val="26"/>
          <w:lang w:val="hr-HR"/>
        </w:rPr>
        <w:t xml:space="preserve">19.9. Căn cứ pháp lý của thủ tục hành chính: </w:t>
      </w:r>
    </w:p>
    <w:p w:rsidR="00A102FD" w:rsidRPr="005A7B60" w:rsidRDefault="00A102FD" w:rsidP="00A102F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Tại Khoản 1, Điều 5 Thông tư liên tịch số 02/2013/TTLT-BNV-BLĐTBXH-BTC-BYT ngày 09 tháng 7 năm 2013 của Bộ trưởng Bộ Nội vụ, Bộ trưởng Bộ Lao động -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p w:rsidR="00A102FD" w:rsidRPr="000D5CF1" w:rsidRDefault="00A102FD" w:rsidP="00A102FD">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19</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A102FD"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A102FD"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19</w:t>
            </w:r>
            <w:r w:rsidRPr="000D5CF1">
              <w:rPr>
                <w:rFonts w:eastAsia="Times New Roman" w:cs="Times New Roman"/>
                <w:color w:val="000000" w:themeColor="text1"/>
                <w:sz w:val="26"/>
                <w:szCs w:val="26"/>
                <w:lang w:val="nl-NL"/>
              </w:rPr>
              <w:t>.2.</w:t>
            </w:r>
          </w:p>
          <w:p w:rsidR="00A102FD" w:rsidRPr="000D5CF1" w:rsidRDefault="00A102FD"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102FD" w:rsidRPr="000D5CF1" w:rsidRDefault="00A102FD"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A102FD" w:rsidRPr="000D5CF1" w:rsidRDefault="00A102FD"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A102FD" w:rsidRPr="000D5CF1" w:rsidRDefault="00A102FD"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huyện</w:t>
            </w:r>
          </w:p>
        </w:tc>
      </w:tr>
      <w:tr w:rsidR="00A102FD"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102FD" w:rsidRPr="005A7B60" w:rsidRDefault="00A102FD"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102FD" w:rsidRPr="000D5CF1" w:rsidRDefault="00A102FD"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A102FD" w:rsidRPr="000D5CF1" w:rsidRDefault="00A102FD"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102FD" w:rsidRPr="000D5CF1" w:rsidRDefault="00A102FD" w:rsidP="00FE10CA">
            <w:pPr>
              <w:spacing w:after="120" w:line="240" w:lineRule="auto"/>
              <w:rPr>
                <w:rFonts w:eastAsia="Times New Roman" w:cs="Times New Roman"/>
                <w:color w:val="000000" w:themeColor="text1"/>
                <w:sz w:val="26"/>
                <w:szCs w:val="26"/>
                <w:lang w:val="nl-NL"/>
              </w:rPr>
            </w:pPr>
          </w:p>
        </w:tc>
      </w:tr>
    </w:tbl>
    <w:p w:rsidR="00A102FD" w:rsidRDefault="00A102FD" w:rsidP="00A102FD">
      <w:pPr>
        <w:spacing w:after="120" w:line="240" w:lineRule="auto"/>
        <w:ind w:firstLine="709"/>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w:t>
      </w: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69" w:rsidRDefault="00054869">
      <w:pPr>
        <w:spacing w:after="0" w:line="240" w:lineRule="auto"/>
      </w:pPr>
      <w:r>
        <w:separator/>
      </w:r>
    </w:p>
  </w:endnote>
  <w:endnote w:type="continuationSeparator" w:id="0">
    <w:p w:rsidR="00054869" w:rsidRDefault="0005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69" w:rsidRDefault="00054869">
      <w:pPr>
        <w:spacing w:after="0" w:line="240" w:lineRule="auto"/>
      </w:pPr>
      <w:r>
        <w:separator/>
      </w:r>
    </w:p>
  </w:footnote>
  <w:footnote w:type="continuationSeparator" w:id="0">
    <w:p w:rsidR="00054869" w:rsidRDefault="00054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54869"/>
    <w:rsid w:val="000D6E57"/>
    <w:rsid w:val="0014466C"/>
    <w:rsid w:val="00236AB3"/>
    <w:rsid w:val="002C7E63"/>
    <w:rsid w:val="003465D4"/>
    <w:rsid w:val="00470D0C"/>
    <w:rsid w:val="0058198A"/>
    <w:rsid w:val="006F7FB9"/>
    <w:rsid w:val="00724039"/>
    <w:rsid w:val="008E70F2"/>
    <w:rsid w:val="009558E4"/>
    <w:rsid w:val="00A102FD"/>
    <w:rsid w:val="00A152E3"/>
    <w:rsid w:val="00C279E9"/>
    <w:rsid w:val="00C47708"/>
    <w:rsid w:val="00CA34BD"/>
    <w:rsid w:val="00D86586"/>
    <w:rsid w:val="00D96BE6"/>
    <w:rsid w:val="00DA3121"/>
    <w:rsid w:val="00E8705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2022-08-01T09:42:00Z</dcterms:modified>
</cp:coreProperties>
</file>