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FB6" w:rsidRPr="00E56EF8" w:rsidRDefault="00DC2FB6" w:rsidP="00A140FB">
      <w:pPr>
        <w:spacing w:after="0" w:line="340" w:lineRule="exact"/>
        <w:ind w:right="425"/>
        <w:jc w:val="center"/>
        <w:rPr>
          <w:rFonts w:ascii="Times New Roman" w:hAnsi="Times New Roman" w:cs="Times New Roman"/>
          <w:b/>
          <w:sz w:val="26"/>
          <w:szCs w:val="26"/>
        </w:rPr>
      </w:pPr>
      <w:r w:rsidRPr="00E56EF8">
        <w:rPr>
          <w:rFonts w:ascii="Times New Roman" w:hAnsi="Times New Roman" w:cs="Times New Roman"/>
          <w:b/>
          <w:sz w:val="26"/>
          <w:szCs w:val="26"/>
        </w:rPr>
        <w:t>Phụ lục</w:t>
      </w:r>
      <w:r w:rsidR="00E13A8B" w:rsidRPr="00E56EF8">
        <w:rPr>
          <w:rFonts w:ascii="Times New Roman" w:hAnsi="Times New Roman" w:cs="Times New Roman"/>
          <w:b/>
          <w:sz w:val="26"/>
          <w:szCs w:val="26"/>
        </w:rPr>
        <w:t xml:space="preserve"> </w:t>
      </w:r>
      <w:r w:rsidR="00815E0A">
        <w:rPr>
          <w:rFonts w:ascii="Times New Roman" w:hAnsi="Times New Roman" w:cs="Times New Roman"/>
          <w:b/>
          <w:sz w:val="26"/>
          <w:szCs w:val="26"/>
        </w:rPr>
        <w:t>X</w:t>
      </w:r>
      <w:bookmarkStart w:id="0" w:name="_GoBack"/>
      <w:bookmarkEnd w:id="0"/>
    </w:p>
    <w:p w:rsidR="00071F8E" w:rsidRPr="00E56EF8" w:rsidRDefault="00573EBF" w:rsidP="00A140FB">
      <w:pPr>
        <w:spacing w:after="0" w:line="340" w:lineRule="exact"/>
        <w:ind w:right="425"/>
        <w:jc w:val="center"/>
        <w:rPr>
          <w:rFonts w:ascii="Times New Roman" w:hAnsi="Times New Roman" w:cs="Times New Roman"/>
          <w:b/>
          <w:sz w:val="26"/>
          <w:szCs w:val="26"/>
        </w:rPr>
      </w:pPr>
      <w:r w:rsidRPr="00E56EF8">
        <w:rPr>
          <w:rFonts w:ascii="Times New Roman" w:hAnsi="Times New Roman" w:cs="Times New Roman"/>
          <w:b/>
          <w:sz w:val="26"/>
          <w:szCs w:val="26"/>
        </w:rPr>
        <w:t xml:space="preserve">TỔNG HỢP </w:t>
      </w:r>
      <w:r w:rsidR="00C65D8F" w:rsidRPr="00E56EF8">
        <w:rPr>
          <w:rFonts w:ascii="Times New Roman" w:hAnsi="Times New Roman" w:cs="Times New Roman"/>
          <w:b/>
          <w:sz w:val="26"/>
          <w:szCs w:val="26"/>
        </w:rPr>
        <w:t xml:space="preserve">ĐỀ XUẤT, KIẾN NGHỊ </w:t>
      </w:r>
      <w:r w:rsidR="00806570" w:rsidRPr="00E56EF8">
        <w:rPr>
          <w:rFonts w:ascii="Times New Roman" w:hAnsi="Times New Roman" w:cs="Times New Roman"/>
          <w:b/>
          <w:sz w:val="26"/>
          <w:szCs w:val="26"/>
        </w:rPr>
        <w:t>ĐỐI VỚI</w:t>
      </w:r>
      <w:r w:rsidR="00C65D8F" w:rsidRPr="00E56EF8">
        <w:rPr>
          <w:rFonts w:ascii="Times New Roman" w:hAnsi="Times New Roman" w:cs="Times New Roman"/>
          <w:b/>
          <w:sz w:val="26"/>
          <w:szCs w:val="26"/>
        </w:rPr>
        <w:t xml:space="preserve"> CÁC BỘ, NGÀNH</w:t>
      </w:r>
    </w:p>
    <w:p w:rsidR="008C766C" w:rsidRPr="00E56EF8" w:rsidRDefault="00AF33DC" w:rsidP="00A140FB">
      <w:pPr>
        <w:spacing w:after="0" w:line="340" w:lineRule="exact"/>
        <w:ind w:right="425"/>
        <w:jc w:val="center"/>
        <w:rPr>
          <w:rFonts w:ascii="Times New Roman" w:hAnsi="Times New Roman" w:cs="Times New Roman"/>
          <w:b/>
          <w:sz w:val="26"/>
          <w:szCs w:val="26"/>
        </w:rPr>
      </w:pPr>
      <w:r w:rsidRPr="00E56EF8">
        <w:rPr>
          <w:rFonts w:ascii="Times New Roman" w:hAnsi="Times New Roman" w:cs="Times New Roman"/>
          <w:b/>
          <w:sz w:val="26"/>
          <w:szCs w:val="26"/>
        </w:rPr>
        <w:t xml:space="preserve">THÁNG </w:t>
      </w:r>
      <w:r w:rsidR="00DA3152">
        <w:rPr>
          <w:rFonts w:ascii="Times New Roman" w:hAnsi="Times New Roman" w:cs="Times New Roman"/>
          <w:b/>
          <w:sz w:val="26"/>
          <w:szCs w:val="26"/>
        </w:rPr>
        <w:t>8</w:t>
      </w:r>
      <w:r w:rsidR="008C766C" w:rsidRPr="00E56EF8">
        <w:rPr>
          <w:rFonts w:ascii="Times New Roman" w:hAnsi="Times New Roman" w:cs="Times New Roman"/>
          <w:b/>
          <w:sz w:val="26"/>
          <w:szCs w:val="26"/>
        </w:rPr>
        <w:t xml:space="preserve"> NĂM 202</w:t>
      </w:r>
      <w:r w:rsidR="00804CD7" w:rsidRPr="00E56EF8">
        <w:rPr>
          <w:rFonts w:ascii="Times New Roman" w:hAnsi="Times New Roman" w:cs="Times New Roman"/>
          <w:b/>
          <w:sz w:val="26"/>
          <w:szCs w:val="26"/>
        </w:rPr>
        <w:t>4</w:t>
      </w:r>
    </w:p>
    <w:p w:rsidR="005C18D7" w:rsidRPr="00E56EF8" w:rsidRDefault="005C18D7" w:rsidP="00A140FB">
      <w:pPr>
        <w:spacing w:after="0" w:line="340" w:lineRule="exact"/>
        <w:ind w:right="425"/>
        <w:jc w:val="center"/>
        <w:rPr>
          <w:rFonts w:ascii="Times New Roman" w:hAnsi="Times New Roman" w:cs="Times New Roman"/>
          <w:i/>
          <w:sz w:val="26"/>
          <w:szCs w:val="26"/>
        </w:rPr>
      </w:pPr>
      <w:r w:rsidRPr="00E56EF8">
        <w:rPr>
          <w:rFonts w:ascii="Times New Roman" w:hAnsi="Times New Roman" w:cs="Times New Roman"/>
          <w:i/>
          <w:sz w:val="26"/>
          <w:szCs w:val="26"/>
        </w:rPr>
        <w:t xml:space="preserve">(Kèm theo Báo cáo số: </w:t>
      </w:r>
      <w:r w:rsidR="00AF33DC" w:rsidRPr="00E56EF8">
        <w:rPr>
          <w:rFonts w:ascii="Times New Roman" w:hAnsi="Times New Roman" w:cs="Times New Roman"/>
          <w:i/>
          <w:sz w:val="26"/>
          <w:szCs w:val="26"/>
        </w:rPr>
        <w:t xml:space="preserve">         </w:t>
      </w:r>
      <w:r w:rsidRPr="00E56EF8">
        <w:rPr>
          <w:rFonts w:ascii="Times New Roman" w:hAnsi="Times New Roman" w:cs="Times New Roman"/>
          <w:i/>
          <w:sz w:val="26"/>
          <w:szCs w:val="26"/>
        </w:rPr>
        <w:t xml:space="preserve">/BC-VPCP ngày </w:t>
      </w:r>
      <w:r w:rsidR="00AF33DC" w:rsidRPr="00E56EF8">
        <w:rPr>
          <w:rFonts w:ascii="Times New Roman" w:hAnsi="Times New Roman" w:cs="Times New Roman"/>
          <w:i/>
          <w:sz w:val="26"/>
          <w:szCs w:val="26"/>
        </w:rPr>
        <w:t xml:space="preserve">     </w:t>
      </w:r>
      <w:r w:rsidRPr="00E56EF8">
        <w:rPr>
          <w:rFonts w:ascii="Times New Roman" w:hAnsi="Times New Roman" w:cs="Times New Roman"/>
          <w:i/>
          <w:sz w:val="26"/>
          <w:szCs w:val="26"/>
        </w:rPr>
        <w:t xml:space="preserve"> tháng </w:t>
      </w:r>
      <w:r w:rsidR="00AF33DC" w:rsidRPr="00E56EF8">
        <w:rPr>
          <w:rFonts w:ascii="Times New Roman" w:hAnsi="Times New Roman" w:cs="Times New Roman"/>
          <w:i/>
          <w:sz w:val="26"/>
          <w:szCs w:val="26"/>
        </w:rPr>
        <w:t xml:space="preserve">    </w:t>
      </w:r>
      <w:r w:rsidRPr="00E56EF8">
        <w:rPr>
          <w:rFonts w:ascii="Times New Roman" w:hAnsi="Times New Roman" w:cs="Times New Roman"/>
          <w:i/>
          <w:sz w:val="26"/>
          <w:szCs w:val="26"/>
        </w:rPr>
        <w:t xml:space="preserve"> năm 202</w:t>
      </w:r>
      <w:r w:rsidR="00922489" w:rsidRPr="00E56EF8">
        <w:rPr>
          <w:rFonts w:ascii="Times New Roman" w:hAnsi="Times New Roman" w:cs="Times New Roman"/>
          <w:i/>
          <w:sz w:val="26"/>
          <w:szCs w:val="26"/>
        </w:rPr>
        <w:t>4</w:t>
      </w:r>
    </w:p>
    <w:p w:rsidR="0025493B" w:rsidRPr="00E56EF8" w:rsidRDefault="0025493B" w:rsidP="00A140FB">
      <w:pPr>
        <w:spacing w:after="0" w:line="340" w:lineRule="exact"/>
        <w:ind w:right="425"/>
        <w:jc w:val="center"/>
        <w:rPr>
          <w:rFonts w:ascii="Times New Roman" w:hAnsi="Times New Roman" w:cs="Times New Roman"/>
          <w:i/>
          <w:sz w:val="26"/>
          <w:szCs w:val="26"/>
        </w:rPr>
      </w:pPr>
      <w:r w:rsidRPr="00E56EF8">
        <w:rPr>
          <w:rFonts w:ascii="Times New Roman" w:hAnsi="Times New Roman" w:cs="Times New Roman"/>
          <w:i/>
          <w:sz w:val="26"/>
          <w:szCs w:val="26"/>
        </w:rPr>
        <w:t>của Văn phòng Chính phủ)</w:t>
      </w:r>
    </w:p>
    <w:p w:rsidR="00A140FB" w:rsidRPr="00E56EF8" w:rsidRDefault="00A140FB" w:rsidP="00AF33DC">
      <w:pPr>
        <w:spacing w:after="0" w:line="160" w:lineRule="exact"/>
        <w:ind w:firstLine="567"/>
        <w:jc w:val="center"/>
        <w:rPr>
          <w:rFonts w:ascii="Times New Roman" w:hAnsi="Times New Roman" w:cs="Times New Roman"/>
          <w:b/>
          <w:sz w:val="26"/>
          <w:szCs w:val="26"/>
        </w:rPr>
      </w:pPr>
    </w:p>
    <w:p w:rsidR="002830DF" w:rsidRPr="00E56EF8" w:rsidRDefault="002830DF" w:rsidP="00AF33DC">
      <w:pPr>
        <w:spacing w:after="0" w:line="160" w:lineRule="exact"/>
        <w:ind w:firstLine="567"/>
        <w:jc w:val="center"/>
        <w:rPr>
          <w:rFonts w:ascii="Times New Roman" w:hAnsi="Times New Roman" w:cs="Times New Roman"/>
          <w:b/>
          <w:sz w:val="26"/>
          <w:szCs w:val="26"/>
        </w:rPr>
      </w:pPr>
    </w:p>
    <w:p w:rsidR="00F7286B" w:rsidRPr="00E56EF8" w:rsidRDefault="00F7286B" w:rsidP="00AF33DC">
      <w:pPr>
        <w:spacing w:after="0" w:line="160" w:lineRule="exact"/>
        <w:ind w:firstLine="567"/>
        <w:jc w:val="center"/>
        <w:rPr>
          <w:rFonts w:ascii="Times New Roman" w:hAnsi="Times New Roman" w:cs="Times New Roman"/>
          <w:b/>
          <w:sz w:val="26"/>
          <w:szCs w:val="26"/>
        </w:rPr>
      </w:pPr>
    </w:p>
    <w:p w:rsidR="00832671" w:rsidRPr="00E56EF8" w:rsidRDefault="00832671" w:rsidP="00AF33DC">
      <w:pPr>
        <w:spacing w:after="0" w:line="160" w:lineRule="exact"/>
        <w:ind w:firstLine="567"/>
        <w:jc w:val="center"/>
        <w:rPr>
          <w:rFonts w:ascii="Times New Roman" w:hAnsi="Times New Roman" w:cs="Times New Roman"/>
          <w:b/>
          <w:sz w:val="26"/>
          <w:szCs w:val="26"/>
        </w:rPr>
      </w:pPr>
    </w:p>
    <w:tbl>
      <w:tblPr>
        <w:tblStyle w:val="TableGrid"/>
        <w:tblpPr w:leftFromText="180" w:rightFromText="180" w:vertAnchor="text" w:tblpX="-147" w:tblpY="1"/>
        <w:tblOverlap w:val="never"/>
        <w:tblW w:w="10632" w:type="dxa"/>
        <w:tblLayout w:type="fixed"/>
        <w:tblLook w:val="04A0" w:firstRow="1" w:lastRow="0" w:firstColumn="1" w:lastColumn="0" w:noHBand="0" w:noVBand="1"/>
      </w:tblPr>
      <w:tblGrid>
        <w:gridCol w:w="846"/>
        <w:gridCol w:w="1990"/>
        <w:gridCol w:w="7796"/>
      </w:tblGrid>
      <w:tr w:rsidR="00DA3152" w:rsidRPr="00DA3152" w:rsidTr="00DA3152">
        <w:tc>
          <w:tcPr>
            <w:tcW w:w="846" w:type="dxa"/>
            <w:vAlign w:val="center"/>
          </w:tcPr>
          <w:p w:rsidR="00A140FB" w:rsidRPr="00DA3152" w:rsidRDefault="00A140FB" w:rsidP="00DA3152">
            <w:pPr>
              <w:spacing w:before="40" w:after="40" w:line="240" w:lineRule="auto"/>
              <w:ind w:left="-108" w:right="-102" w:hanging="3"/>
              <w:jc w:val="center"/>
              <w:rPr>
                <w:rFonts w:ascii="Times New Roman" w:hAnsi="Times New Roman" w:cs="Times New Roman"/>
                <w:b/>
                <w:sz w:val="28"/>
                <w:szCs w:val="28"/>
              </w:rPr>
            </w:pPr>
            <w:r w:rsidRPr="00DA3152">
              <w:rPr>
                <w:rFonts w:ascii="Times New Roman" w:hAnsi="Times New Roman" w:cs="Times New Roman"/>
                <w:b/>
                <w:sz w:val="28"/>
                <w:szCs w:val="28"/>
              </w:rPr>
              <w:t>Số TT</w:t>
            </w:r>
          </w:p>
        </w:tc>
        <w:tc>
          <w:tcPr>
            <w:tcW w:w="1990" w:type="dxa"/>
            <w:vAlign w:val="center"/>
          </w:tcPr>
          <w:p w:rsidR="00A140FB" w:rsidRPr="00DA3152" w:rsidRDefault="00A140FB" w:rsidP="00DA3152">
            <w:pPr>
              <w:spacing w:before="40" w:after="40" w:line="240" w:lineRule="auto"/>
              <w:ind w:left="-132" w:right="-67"/>
              <w:jc w:val="center"/>
              <w:rPr>
                <w:rFonts w:ascii="Times New Roman" w:hAnsi="Times New Roman" w:cs="Times New Roman"/>
                <w:b/>
                <w:spacing w:val="-6"/>
                <w:sz w:val="28"/>
                <w:szCs w:val="28"/>
              </w:rPr>
            </w:pPr>
            <w:r w:rsidRPr="009530A1">
              <w:rPr>
                <w:rFonts w:ascii="Times New Roman" w:hAnsi="Times New Roman" w:cs="Times New Roman"/>
                <w:b/>
                <w:spacing w:val="-6"/>
                <w:sz w:val="26"/>
                <w:szCs w:val="28"/>
              </w:rPr>
              <w:t>Bộ, ngành, địa phương</w:t>
            </w:r>
            <w:r w:rsidR="00922489" w:rsidRPr="009530A1">
              <w:rPr>
                <w:rFonts w:ascii="Times New Roman" w:hAnsi="Times New Roman" w:cs="Times New Roman"/>
                <w:b/>
                <w:spacing w:val="-6"/>
                <w:sz w:val="26"/>
                <w:szCs w:val="28"/>
              </w:rPr>
              <w:t xml:space="preserve"> </w:t>
            </w:r>
            <w:r w:rsidRPr="009530A1">
              <w:rPr>
                <w:rFonts w:ascii="Times New Roman" w:hAnsi="Times New Roman" w:cs="Times New Roman"/>
                <w:b/>
                <w:spacing w:val="-6"/>
                <w:sz w:val="26"/>
                <w:szCs w:val="28"/>
              </w:rPr>
              <w:t>kiến nghị</w:t>
            </w:r>
          </w:p>
        </w:tc>
        <w:tc>
          <w:tcPr>
            <w:tcW w:w="7796" w:type="dxa"/>
            <w:vAlign w:val="center"/>
          </w:tcPr>
          <w:p w:rsidR="00A140FB" w:rsidRPr="00DA3152" w:rsidRDefault="00A140FB" w:rsidP="00DA3152">
            <w:pPr>
              <w:spacing w:before="40" w:after="40" w:line="240" w:lineRule="auto"/>
              <w:jc w:val="center"/>
              <w:rPr>
                <w:rFonts w:ascii="Times New Roman" w:hAnsi="Times New Roman" w:cs="Times New Roman"/>
                <w:b/>
                <w:sz w:val="28"/>
                <w:szCs w:val="28"/>
                <w:lang w:val="vi-VN"/>
              </w:rPr>
            </w:pPr>
            <w:r w:rsidRPr="00DA3152">
              <w:rPr>
                <w:rFonts w:ascii="Times New Roman" w:hAnsi="Times New Roman" w:cs="Times New Roman"/>
                <w:b/>
                <w:sz w:val="28"/>
                <w:szCs w:val="28"/>
              </w:rPr>
              <w:t xml:space="preserve">Nội dung đề xuất, kiến </w:t>
            </w:r>
            <w:r w:rsidR="001F3405" w:rsidRPr="00DA3152">
              <w:rPr>
                <w:rFonts w:ascii="Times New Roman" w:hAnsi="Times New Roman" w:cs="Times New Roman"/>
                <w:b/>
                <w:sz w:val="28"/>
                <w:szCs w:val="28"/>
              </w:rPr>
              <w:t>nghị</w:t>
            </w:r>
          </w:p>
        </w:tc>
      </w:tr>
      <w:tr w:rsidR="00DA3152" w:rsidRPr="00DA3152" w:rsidTr="00DA3152">
        <w:tc>
          <w:tcPr>
            <w:tcW w:w="846" w:type="dxa"/>
            <w:vAlign w:val="center"/>
          </w:tcPr>
          <w:p w:rsidR="00F14EE6" w:rsidRPr="00DA3152" w:rsidRDefault="00C979E4" w:rsidP="00DA3152">
            <w:pPr>
              <w:spacing w:before="40" w:after="40" w:line="240" w:lineRule="auto"/>
              <w:ind w:left="-108" w:right="-102" w:hanging="3"/>
              <w:jc w:val="center"/>
              <w:rPr>
                <w:rFonts w:ascii="Times New Roman" w:hAnsi="Times New Roman" w:cs="Times New Roman"/>
                <w:b/>
                <w:sz w:val="28"/>
                <w:szCs w:val="28"/>
              </w:rPr>
            </w:pPr>
            <w:r w:rsidRPr="00DA3152">
              <w:rPr>
                <w:rFonts w:ascii="Times New Roman" w:hAnsi="Times New Roman" w:cs="Times New Roman"/>
                <w:b/>
                <w:sz w:val="28"/>
                <w:szCs w:val="28"/>
              </w:rPr>
              <w:t>I</w:t>
            </w:r>
          </w:p>
        </w:tc>
        <w:tc>
          <w:tcPr>
            <w:tcW w:w="9786" w:type="dxa"/>
            <w:gridSpan w:val="2"/>
            <w:vAlign w:val="center"/>
          </w:tcPr>
          <w:p w:rsidR="00F14EE6" w:rsidRPr="00DA3152" w:rsidRDefault="00F14EE6" w:rsidP="00DA3152">
            <w:pPr>
              <w:pStyle w:val="ListParagraph"/>
              <w:tabs>
                <w:tab w:val="left" w:pos="171"/>
              </w:tabs>
              <w:spacing w:before="40" w:after="40" w:line="240" w:lineRule="auto"/>
              <w:ind w:left="0"/>
              <w:jc w:val="both"/>
              <w:rPr>
                <w:rFonts w:ascii="Times New Roman" w:hAnsi="Times New Roman" w:cs="Times New Roman"/>
                <w:b/>
                <w:sz w:val="28"/>
                <w:szCs w:val="28"/>
                <w:shd w:val="clear" w:color="auto" w:fill="FFFFFF"/>
              </w:rPr>
            </w:pPr>
            <w:r w:rsidRPr="00DA3152">
              <w:rPr>
                <w:rFonts w:ascii="Times New Roman" w:hAnsi="Times New Roman" w:cs="Times New Roman"/>
                <w:b/>
                <w:sz w:val="28"/>
                <w:szCs w:val="28"/>
              </w:rPr>
              <w:t>Kiến nghị, đề xuất với Bộ Công an</w:t>
            </w:r>
          </w:p>
        </w:tc>
      </w:tr>
      <w:tr w:rsidR="00DA3152" w:rsidRPr="00DA3152" w:rsidTr="00DA3152">
        <w:tc>
          <w:tcPr>
            <w:tcW w:w="846" w:type="dxa"/>
            <w:vAlign w:val="center"/>
          </w:tcPr>
          <w:p w:rsidR="00B36D86" w:rsidRPr="00DA3152" w:rsidRDefault="00B36D86"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B36D86" w:rsidRPr="00DA3152" w:rsidRDefault="00F96C63"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r w:rsidR="00DD2F08">
              <w:rPr>
                <w:rFonts w:ascii="Times New Roman" w:hAnsi="Times New Roman" w:cs="Times New Roman"/>
                <w:spacing w:val="-6"/>
                <w:sz w:val="28"/>
                <w:szCs w:val="28"/>
              </w:rPr>
              <w:br/>
            </w:r>
            <w:r w:rsidRPr="00DA3152">
              <w:rPr>
                <w:rFonts w:ascii="Times New Roman" w:hAnsi="Times New Roman" w:cs="Times New Roman"/>
                <w:spacing w:val="-6"/>
                <w:sz w:val="28"/>
                <w:szCs w:val="28"/>
              </w:rPr>
              <w:t>Cà Mau</w:t>
            </w:r>
          </w:p>
        </w:tc>
        <w:tc>
          <w:tcPr>
            <w:tcW w:w="7796" w:type="dxa"/>
            <w:vAlign w:val="center"/>
          </w:tcPr>
          <w:p w:rsidR="00B36D86" w:rsidRPr="00DA3152" w:rsidRDefault="00F96C63" w:rsidP="00DA3152">
            <w:pPr>
              <w:spacing w:before="40" w:after="40" w:line="240" w:lineRule="auto"/>
              <w:jc w:val="both"/>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sớm có văn bản hướng dẫn việc “Cập nhật dữ liệu và chia sẻ dữ liệu vùng có điều kiện kinh tế - xã hội khó khăn, đặc biệt khó khăn, xã đảo, huyện đảo với Phần mềm dịch vụ công liên thông, cơ sở dữ liệu chuyên ngành” theo quy định tại Nghị định số 63/2024/NĐ-CP.</w:t>
            </w:r>
          </w:p>
        </w:tc>
      </w:tr>
      <w:tr w:rsidR="00DA3152" w:rsidRPr="00DA3152" w:rsidTr="00DA3152">
        <w:tc>
          <w:tcPr>
            <w:tcW w:w="846" w:type="dxa"/>
            <w:vAlign w:val="center"/>
          </w:tcPr>
          <w:p w:rsidR="00B36D86" w:rsidRPr="00DA3152" w:rsidRDefault="00B36D86"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B36D86" w:rsidRPr="00DA3152" w:rsidRDefault="00120AD5"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Quảng Nam</w:t>
            </w:r>
          </w:p>
        </w:tc>
        <w:tc>
          <w:tcPr>
            <w:tcW w:w="7796" w:type="dxa"/>
            <w:vAlign w:val="center"/>
          </w:tcPr>
          <w:p w:rsidR="00B36D86" w:rsidRPr="00DA3152" w:rsidRDefault="00120AD5" w:rsidP="00DA3152">
            <w:pPr>
              <w:spacing w:before="40" w:after="40" w:line="240" w:lineRule="auto"/>
              <w:jc w:val="both"/>
              <w:rPr>
                <w:rFonts w:ascii="Times New Roman" w:hAnsi="Times New Roman" w:cs="Times New Roman"/>
                <w:sz w:val="28"/>
                <w:szCs w:val="28"/>
                <w:shd w:val="clear" w:color="auto" w:fill="FFFFFF"/>
              </w:rPr>
            </w:pPr>
            <w:r w:rsidRPr="00DA3152">
              <w:rPr>
                <w:rFonts w:ascii="Times New Roman" w:hAnsi="Times New Roman" w:cs="Times New Roman"/>
                <w:bCs/>
                <w:sz w:val="28"/>
                <w:szCs w:val="28"/>
              </w:rPr>
              <w:t>Kiến nghị Bộ Công an</w:t>
            </w:r>
            <w:r w:rsidRPr="00DA3152">
              <w:rPr>
                <w:rFonts w:ascii="Times New Roman" w:hAnsi="Times New Roman" w:cs="Times New Roman"/>
                <w:sz w:val="28"/>
                <w:szCs w:val="28"/>
              </w:rPr>
              <w:t xml:space="preserve"> xem xét điều chỉnh biểu mẫu điện tử liên thông Đăng ký khai tử - Xóa đăng ký thường trú - Giải quyết mai táng phí, tử tuất trên phần mềm Dịch vụ công liên thông: tại mục "Số định danh cá nhân" thành "Số định danh cá nhân/CMND" để nhiều trường hợp chưa có CCCD vẫn thực hiện được nhóm TTHC liên thông này.</w:t>
            </w:r>
          </w:p>
        </w:tc>
      </w:tr>
      <w:tr w:rsidR="00DA3152" w:rsidRPr="00DA3152" w:rsidTr="00DA3152">
        <w:tc>
          <w:tcPr>
            <w:tcW w:w="846" w:type="dxa"/>
            <w:vAlign w:val="center"/>
          </w:tcPr>
          <w:p w:rsidR="00B36D86" w:rsidRPr="00DA3152" w:rsidRDefault="00B36D86"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B36D86" w:rsidRPr="00DA3152" w:rsidRDefault="000E6CE5"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r w:rsidR="00513618" w:rsidRPr="00DA3152">
              <w:rPr>
                <w:rFonts w:ascii="Times New Roman" w:hAnsi="Times New Roman" w:cs="Times New Roman"/>
                <w:spacing w:val="-6"/>
                <w:sz w:val="28"/>
                <w:szCs w:val="28"/>
              </w:rPr>
              <w:br/>
            </w:r>
            <w:r w:rsidRPr="00DA3152">
              <w:rPr>
                <w:rFonts w:ascii="Times New Roman" w:hAnsi="Times New Roman" w:cs="Times New Roman"/>
                <w:spacing w:val="-6"/>
                <w:sz w:val="28"/>
                <w:szCs w:val="28"/>
              </w:rPr>
              <w:t>Sóc Trăng</w:t>
            </w:r>
          </w:p>
        </w:tc>
        <w:tc>
          <w:tcPr>
            <w:tcW w:w="7796" w:type="dxa"/>
            <w:vAlign w:val="center"/>
          </w:tcPr>
          <w:p w:rsidR="00B36D86" w:rsidRPr="00DA3152" w:rsidRDefault="000E6CE5" w:rsidP="00DA3152">
            <w:pPr>
              <w:spacing w:before="40" w:after="40" w:line="240" w:lineRule="auto"/>
              <w:jc w:val="both"/>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Trong quá trình thực hiện 02 nhóm TTHC liên thông điện tử theo quy định tại Nghị định số 63/2024/NĐ-CP ngày 10/6/2024 của Chính phủ, tỉnh còn gặp một số khó khăn như sau: Về Phần mềm dịch vụ công liên thông, khi người dân đăng nhập bằng tài khoản VNeID thường hay gặp lỗi (không nhận được mã OTP hoặc có nhận mã OTP nhưng vẫn không đăng nhập được). Do đó, tỉnh kính đề nghị Bộ Công an tiếp tục quan tâm, nâng cấp các hệ thống để đảm bảo quá trình đăng nhập qua tài khoản VNeID và thực hiện nộp hồ sơ TTHC trực tuyến được thông suốt, thuận tiện, nhanh chóng.</w:t>
            </w:r>
          </w:p>
        </w:tc>
      </w:tr>
      <w:tr w:rsidR="00DA3152" w:rsidRPr="00DA3152" w:rsidTr="00DA3152">
        <w:tc>
          <w:tcPr>
            <w:tcW w:w="846" w:type="dxa"/>
            <w:vAlign w:val="center"/>
          </w:tcPr>
          <w:p w:rsidR="00B36D86" w:rsidRPr="00DA3152" w:rsidRDefault="00B36D86"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B36D86" w:rsidRPr="00DA3152" w:rsidRDefault="001373E5"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r w:rsidR="00513618" w:rsidRPr="00DA3152">
              <w:rPr>
                <w:rFonts w:ascii="Times New Roman" w:hAnsi="Times New Roman" w:cs="Times New Roman"/>
                <w:spacing w:val="-6"/>
                <w:sz w:val="28"/>
                <w:szCs w:val="28"/>
              </w:rPr>
              <w:br/>
            </w:r>
            <w:r w:rsidRPr="00DA3152">
              <w:rPr>
                <w:rFonts w:ascii="Times New Roman" w:hAnsi="Times New Roman" w:cs="Times New Roman"/>
                <w:spacing w:val="-6"/>
                <w:sz w:val="28"/>
                <w:szCs w:val="28"/>
              </w:rPr>
              <w:t>Đắk Lắk</w:t>
            </w:r>
          </w:p>
        </w:tc>
        <w:tc>
          <w:tcPr>
            <w:tcW w:w="7796" w:type="dxa"/>
            <w:vAlign w:val="center"/>
          </w:tcPr>
          <w:p w:rsidR="00B36D86" w:rsidRPr="00473D59" w:rsidRDefault="001373E5" w:rsidP="00DA3152">
            <w:pPr>
              <w:spacing w:before="40" w:after="40" w:line="240" w:lineRule="auto"/>
              <w:jc w:val="both"/>
              <w:rPr>
                <w:rFonts w:ascii="Times New Roman" w:hAnsi="Times New Roman" w:cs="Times New Roman"/>
                <w:b/>
                <w:sz w:val="28"/>
                <w:szCs w:val="28"/>
              </w:rPr>
            </w:pPr>
            <w:r w:rsidRPr="002338C0">
              <w:rPr>
                <w:rFonts w:ascii="Times New Roman" w:hAnsi="Times New Roman" w:cs="Times New Roman"/>
                <w:bCs/>
                <w:iCs/>
                <w:sz w:val="28"/>
                <w:szCs w:val="28"/>
              </w:rPr>
              <w:t>Kiến nghị Bộ Công an</w:t>
            </w:r>
            <w:r w:rsidRPr="002338C0">
              <w:rPr>
                <w:rFonts w:ascii="Times New Roman" w:hAnsi="Times New Roman" w:cs="Times New Roman"/>
                <w:b/>
                <w:bCs/>
                <w:i/>
                <w:iCs/>
                <w:sz w:val="28"/>
                <w:szCs w:val="28"/>
              </w:rPr>
              <w:t xml:space="preserve"> </w:t>
            </w:r>
            <w:r w:rsidRPr="002338C0">
              <w:rPr>
                <w:rFonts w:ascii="Times New Roman" w:hAnsi="Times New Roman" w:cs="Times New Roman"/>
                <w:sz w:val="28"/>
                <w:szCs w:val="28"/>
              </w:rPr>
              <w:t>nghiên cứu, hướng dẫn đối với trường hợp người chết là chủ hộ, khi thân nhân của người chết thực hiện TTHC liên thông điện tử “Đăng ký khai tử, xóa đăng ký thường trú, giải quyết mai táng phí, tử tuất”, công chức Tư pháp - Hộ tịch thực hiện cấp Giấy chứng tử bình thường; tuy nhiên, khi công chức Tư pháp - Hộ tịch gửi Giấy chứng tử trên hệ thống đến Công an cấp xã thì Công an cấp xã không thể thực hiện việc xóa đăng ký thường trú, vì trên hệ thống cơ sở dữ liệu quốc gia về dân cư không cho xóa hộ khẩu thường trú đối với chủ hộ (trừ trường hợp xóa cả hộ).</w:t>
            </w:r>
          </w:p>
        </w:tc>
      </w:tr>
      <w:tr w:rsidR="00DA3152" w:rsidRPr="00DA3152" w:rsidTr="00DA3152">
        <w:tc>
          <w:tcPr>
            <w:tcW w:w="846" w:type="dxa"/>
            <w:vAlign w:val="center"/>
          </w:tcPr>
          <w:p w:rsidR="002C5286" w:rsidRPr="00DA3152" w:rsidRDefault="0076414A" w:rsidP="00DA3152">
            <w:pPr>
              <w:spacing w:before="40" w:after="40" w:line="240" w:lineRule="auto"/>
              <w:ind w:left="-108" w:right="-102" w:hanging="3"/>
              <w:jc w:val="center"/>
              <w:rPr>
                <w:rFonts w:ascii="Times New Roman" w:hAnsi="Times New Roman" w:cs="Times New Roman"/>
                <w:b/>
                <w:sz w:val="28"/>
                <w:szCs w:val="28"/>
              </w:rPr>
            </w:pPr>
            <w:r w:rsidRPr="00DA3152">
              <w:rPr>
                <w:rFonts w:ascii="Times New Roman" w:hAnsi="Times New Roman" w:cs="Times New Roman"/>
                <w:b/>
                <w:sz w:val="28"/>
                <w:szCs w:val="28"/>
              </w:rPr>
              <w:t>II</w:t>
            </w:r>
          </w:p>
        </w:tc>
        <w:tc>
          <w:tcPr>
            <w:tcW w:w="9786" w:type="dxa"/>
            <w:gridSpan w:val="2"/>
            <w:vAlign w:val="center"/>
          </w:tcPr>
          <w:p w:rsidR="002C5286" w:rsidRPr="00DA3152" w:rsidRDefault="002C5286" w:rsidP="00DA3152">
            <w:pPr>
              <w:spacing w:before="40" w:after="40" w:line="240" w:lineRule="auto"/>
              <w:jc w:val="both"/>
              <w:rPr>
                <w:rFonts w:ascii="Times New Roman" w:hAnsi="Times New Roman" w:cs="Times New Roman"/>
                <w:b/>
                <w:sz w:val="28"/>
                <w:szCs w:val="28"/>
                <w:shd w:val="clear" w:color="auto" w:fill="FFFFFF"/>
              </w:rPr>
            </w:pPr>
            <w:r w:rsidRPr="00DA3152">
              <w:rPr>
                <w:rFonts w:ascii="Times New Roman" w:hAnsi="Times New Roman" w:cs="Times New Roman"/>
                <w:b/>
                <w:spacing w:val="-6"/>
                <w:sz w:val="28"/>
                <w:szCs w:val="28"/>
              </w:rPr>
              <w:t>Kiến nghị, đề xuất với Bộ Công Thương</w:t>
            </w:r>
          </w:p>
        </w:tc>
      </w:tr>
      <w:tr w:rsidR="00DA3152" w:rsidRPr="00DA3152" w:rsidTr="00DA3152">
        <w:tc>
          <w:tcPr>
            <w:tcW w:w="846" w:type="dxa"/>
            <w:vAlign w:val="center"/>
          </w:tcPr>
          <w:p w:rsidR="00F67EB6" w:rsidRPr="00DA3152" w:rsidRDefault="00F67EB6"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F67EB6" w:rsidRPr="00DA3152" w:rsidRDefault="00F67EB6"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w:t>
            </w:r>
            <w:r w:rsidR="00DD2F08">
              <w:rPr>
                <w:rFonts w:ascii="Times New Roman" w:hAnsi="Times New Roman" w:cs="Times New Roman"/>
                <w:spacing w:val="-6"/>
                <w:sz w:val="28"/>
                <w:szCs w:val="28"/>
              </w:rPr>
              <w:br/>
            </w:r>
            <w:r w:rsidRPr="00DA3152">
              <w:rPr>
                <w:rFonts w:ascii="Times New Roman" w:hAnsi="Times New Roman" w:cs="Times New Roman"/>
                <w:spacing w:val="-6"/>
                <w:sz w:val="28"/>
                <w:szCs w:val="28"/>
              </w:rPr>
              <w:t xml:space="preserve"> Hà Giang</w:t>
            </w:r>
          </w:p>
        </w:tc>
        <w:tc>
          <w:tcPr>
            <w:tcW w:w="7796" w:type="dxa"/>
            <w:vAlign w:val="center"/>
          </w:tcPr>
          <w:p w:rsidR="00F67EB6" w:rsidRPr="00DA3152" w:rsidRDefault="00F67EB6" w:rsidP="00DA3152">
            <w:pPr>
              <w:spacing w:before="40" w:after="40" w:line="240" w:lineRule="auto"/>
              <w:jc w:val="both"/>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Bộ Công thương triển khai kết nối, tích hợp, đồng bộ thông tin tiếp nhận, xử lý hồ sơ giữa Ecosys - Hệ thống quản lý và cấp chứng nhận xuất xứ điện tử của Bộ Công thương với Hệ thống thông tin giải quyết TTHC tỉnh và đồng bộ hồ sơ lên Cổng dịch vụ công Quốc gia</w:t>
            </w:r>
          </w:p>
        </w:tc>
      </w:tr>
      <w:tr w:rsidR="00DA3152" w:rsidRPr="00DA3152" w:rsidTr="00DA3152">
        <w:tc>
          <w:tcPr>
            <w:tcW w:w="846" w:type="dxa"/>
            <w:vAlign w:val="center"/>
          </w:tcPr>
          <w:p w:rsidR="00CF2B9C" w:rsidRPr="00DA3152" w:rsidRDefault="00CF2B9C"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CF2B9C" w:rsidRPr="00DA3152" w:rsidRDefault="006C359D"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w:t>
            </w:r>
            <w:r w:rsidR="00DD2F08">
              <w:rPr>
                <w:rFonts w:ascii="Times New Roman" w:hAnsi="Times New Roman" w:cs="Times New Roman"/>
                <w:spacing w:val="-6"/>
                <w:sz w:val="28"/>
                <w:szCs w:val="28"/>
              </w:rPr>
              <w:br/>
            </w:r>
            <w:r w:rsidRPr="00DA3152">
              <w:rPr>
                <w:rFonts w:ascii="Times New Roman" w:hAnsi="Times New Roman" w:cs="Times New Roman"/>
                <w:spacing w:val="-6"/>
                <w:sz w:val="28"/>
                <w:szCs w:val="28"/>
              </w:rPr>
              <w:t xml:space="preserve"> Hải Dương</w:t>
            </w:r>
          </w:p>
        </w:tc>
        <w:tc>
          <w:tcPr>
            <w:tcW w:w="7796" w:type="dxa"/>
            <w:vAlign w:val="center"/>
          </w:tcPr>
          <w:p w:rsidR="00CF2B9C" w:rsidRPr="00DA3152" w:rsidRDefault="006C359D" w:rsidP="00DA3152">
            <w:pPr>
              <w:spacing w:before="40" w:after="40" w:line="240" w:lineRule="auto"/>
              <w:jc w:val="both"/>
              <w:rPr>
                <w:rFonts w:ascii="Times New Roman" w:hAnsi="Times New Roman" w:cs="Times New Roman"/>
                <w:sz w:val="28"/>
                <w:szCs w:val="28"/>
                <w:shd w:val="clear" w:color="auto" w:fill="FFFFFF"/>
              </w:rPr>
            </w:pPr>
            <w:r w:rsidRPr="00473D59">
              <w:rPr>
                <w:rFonts w:ascii="Times New Roman" w:hAnsi="Times New Roman" w:cs="Times New Roman"/>
                <w:bCs/>
                <w:sz w:val="28"/>
                <w:szCs w:val="28"/>
              </w:rPr>
              <w:t>Đề nghị Bộ Công Thương:</w:t>
            </w:r>
            <w:r w:rsidRPr="00DA3152">
              <w:rPr>
                <w:rFonts w:ascii="Times New Roman" w:hAnsi="Times New Roman" w:cs="Times New Roman"/>
                <w:sz w:val="28"/>
                <w:szCs w:val="28"/>
              </w:rPr>
              <w:t xml:space="preserve"> sớm công bố Quyết định phê duyệt danh mục dịch vụ công trực tuyến toàn trình thuộc thẩm quyền giải quyết của địa phương (Quyết định số 3315/QĐ-BCT ngày 22/12/2023 của Bộ Công Thương ban hành danh mục dịch vụ công trực tuyến của Bộ Công Thương, không quy định đến các danh mục </w:t>
            </w:r>
            <w:r w:rsidR="002338C0">
              <w:rPr>
                <w:rFonts w:ascii="Times New Roman" w:hAnsi="Times New Roman" w:cs="Times New Roman"/>
                <w:sz w:val="28"/>
                <w:szCs w:val="28"/>
              </w:rPr>
              <w:t>TTHC</w:t>
            </w:r>
            <w:r w:rsidRPr="00DA3152">
              <w:rPr>
                <w:rFonts w:ascii="Times New Roman" w:hAnsi="Times New Roman" w:cs="Times New Roman"/>
                <w:sz w:val="28"/>
                <w:szCs w:val="28"/>
              </w:rPr>
              <w:t xml:space="preserve"> của địa phương) để địa phương có cơ sở triển khai thực hiện.</w:t>
            </w:r>
          </w:p>
        </w:tc>
      </w:tr>
      <w:tr w:rsidR="00DA3152" w:rsidRPr="00DA3152" w:rsidTr="00DA3152">
        <w:tc>
          <w:tcPr>
            <w:tcW w:w="846" w:type="dxa"/>
            <w:vAlign w:val="center"/>
          </w:tcPr>
          <w:p w:rsidR="00F14EE6" w:rsidRPr="00DA3152" w:rsidRDefault="00C979E4" w:rsidP="00DA3152">
            <w:pPr>
              <w:spacing w:before="40" w:after="40" w:line="240" w:lineRule="auto"/>
              <w:ind w:left="-108" w:right="-102" w:hanging="3"/>
              <w:jc w:val="center"/>
              <w:rPr>
                <w:rFonts w:ascii="Times New Roman" w:hAnsi="Times New Roman" w:cs="Times New Roman"/>
                <w:b/>
                <w:sz w:val="28"/>
                <w:szCs w:val="28"/>
              </w:rPr>
            </w:pPr>
            <w:r w:rsidRPr="00DA3152">
              <w:rPr>
                <w:rFonts w:ascii="Times New Roman" w:hAnsi="Times New Roman" w:cs="Times New Roman"/>
                <w:b/>
                <w:sz w:val="28"/>
                <w:szCs w:val="28"/>
              </w:rPr>
              <w:t>I</w:t>
            </w:r>
            <w:r w:rsidR="008938FB" w:rsidRPr="00DA3152">
              <w:rPr>
                <w:rFonts w:ascii="Times New Roman" w:hAnsi="Times New Roman" w:cs="Times New Roman"/>
                <w:b/>
                <w:sz w:val="28"/>
                <w:szCs w:val="28"/>
              </w:rPr>
              <w:t>II</w:t>
            </w:r>
          </w:p>
        </w:tc>
        <w:tc>
          <w:tcPr>
            <w:tcW w:w="9786" w:type="dxa"/>
            <w:gridSpan w:val="2"/>
            <w:vAlign w:val="center"/>
          </w:tcPr>
          <w:p w:rsidR="00F14EE6" w:rsidRPr="00DA3152" w:rsidRDefault="00F14EE6" w:rsidP="00DA3152">
            <w:pPr>
              <w:spacing w:before="40" w:after="40" w:line="240" w:lineRule="auto"/>
              <w:jc w:val="both"/>
              <w:rPr>
                <w:rFonts w:ascii="Times New Roman" w:hAnsi="Times New Roman" w:cs="Times New Roman"/>
                <w:b/>
                <w:sz w:val="28"/>
                <w:szCs w:val="28"/>
                <w:shd w:val="clear" w:color="auto" w:fill="FFFFFF"/>
              </w:rPr>
            </w:pPr>
            <w:r w:rsidRPr="00DA3152">
              <w:rPr>
                <w:rFonts w:ascii="Times New Roman" w:hAnsi="Times New Roman" w:cs="Times New Roman"/>
                <w:b/>
                <w:sz w:val="28"/>
                <w:szCs w:val="28"/>
                <w:shd w:val="clear" w:color="auto" w:fill="FFFFFF"/>
              </w:rPr>
              <w:t>Kiến nghị, đề xuất với Bộ Giáo dục và Đào tạo</w:t>
            </w:r>
          </w:p>
        </w:tc>
      </w:tr>
      <w:tr w:rsidR="00DA3152" w:rsidRPr="00DA3152" w:rsidTr="00DA3152">
        <w:trPr>
          <w:trHeight w:val="714"/>
        </w:trPr>
        <w:tc>
          <w:tcPr>
            <w:tcW w:w="846" w:type="dxa"/>
            <w:vAlign w:val="center"/>
          </w:tcPr>
          <w:p w:rsidR="00155244" w:rsidRPr="00DA3152" w:rsidRDefault="00155244"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155244" w:rsidRPr="00DA3152" w:rsidRDefault="00155244"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thành phố Cần Thơ</w:t>
            </w:r>
          </w:p>
        </w:tc>
        <w:tc>
          <w:tcPr>
            <w:tcW w:w="7796" w:type="dxa"/>
            <w:vAlign w:val="center"/>
          </w:tcPr>
          <w:p w:rsidR="00155244" w:rsidRPr="00DA3152" w:rsidRDefault="00155244"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bCs/>
                <w:iCs/>
                <w:sz w:val="28"/>
                <w:szCs w:val="28"/>
              </w:rPr>
              <w:t xml:space="preserve">Bộ Giáo dục và Đào tạo rà soát, bãi bỏ TTHC đã công bố trùng với TTHC bộ bộ tại Quyết định số 1766/QĐ-BGDĐT ngày 01 tháng 7 năm 2024 của Bộ Giáo dục và Đào tạo về việc công bố </w:t>
            </w:r>
            <w:r w:rsidR="002338C0">
              <w:rPr>
                <w:rFonts w:ascii="Times New Roman" w:hAnsi="Times New Roman" w:cs="Times New Roman"/>
                <w:sz w:val="28"/>
                <w:szCs w:val="28"/>
              </w:rPr>
              <w:t xml:space="preserve"> TTHC</w:t>
            </w:r>
            <w:r w:rsidR="002338C0" w:rsidRPr="00DA3152">
              <w:rPr>
                <w:rFonts w:ascii="Times New Roman" w:hAnsi="Times New Roman" w:cs="Times New Roman"/>
                <w:sz w:val="28"/>
                <w:szCs w:val="28"/>
              </w:rPr>
              <w:t xml:space="preserve"> </w:t>
            </w:r>
            <w:r w:rsidRPr="00DA3152">
              <w:rPr>
                <w:rFonts w:ascii="Times New Roman" w:hAnsi="Times New Roman" w:cs="Times New Roman"/>
                <w:bCs/>
                <w:iCs/>
                <w:sz w:val="28"/>
                <w:szCs w:val="28"/>
              </w:rPr>
              <w:t xml:space="preserve">nội bộ mới ban hành và </w:t>
            </w:r>
            <w:r w:rsidR="002338C0">
              <w:rPr>
                <w:rFonts w:ascii="Times New Roman" w:hAnsi="Times New Roman" w:cs="Times New Roman"/>
                <w:sz w:val="28"/>
                <w:szCs w:val="28"/>
              </w:rPr>
              <w:t xml:space="preserve"> TTHC</w:t>
            </w:r>
            <w:r w:rsidR="002338C0" w:rsidRPr="00DA3152">
              <w:rPr>
                <w:rFonts w:ascii="Times New Roman" w:hAnsi="Times New Roman" w:cs="Times New Roman"/>
                <w:sz w:val="28"/>
                <w:szCs w:val="28"/>
              </w:rPr>
              <w:t xml:space="preserve"> </w:t>
            </w:r>
            <w:r w:rsidRPr="00DA3152">
              <w:rPr>
                <w:rFonts w:ascii="Times New Roman" w:hAnsi="Times New Roman" w:cs="Times New Roman"/>
                <w:bCs/>
                <w:iCs/>
                <w:sz w:val="28"/>
                <w:szCs w:val="28"/>
              </w:rPr>
              <w:t>được thay thế trong hệ thống hành chính nhà nước thuộc phạm vi chức năng quản lý của Bộ Giáo dục và Đào tạo, gồm:</w:t>
            </w:r>
          </w:p>
          <w:p w:rsidR="00155244" w:rsidRPr="00DA3152" w:rsidRDefault="00155244"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bCs/>
                <w:iCs/>
                <w:sz w:val="28"/>
                <w:szCs w:val="28"/>
              </w:rPr>
              <w:t>a) Thành lập trung tâm giáo dục thường xuyên.</w:t>
            </w:r>
          </w:p>
          <w:p w:rsidR="00155244" w:rsidRPr="00DA3152" w:rsidRDefault="00155244"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bCs/>
                <w:iCs/>
                <w:sz w:val="28"/>
                <w:szCs w:val="28"/>
              </w:rPr>
              <w:t>b) Sáp nhập, chia tách trung tâm giáo dục thường xuyên.</w:t>
            </w:r>
          </w:p>
          <w:p w:rsidR="00155244" w:rsidRPr="00DA3152" w:rsidRDefault="00155244"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bCs/>
                <w:iCs/>
                <w:sz w:val="28"/>
                <w:szCs w:val="28"/>
              </w:rPr>
              <w:t>c) Giải thể trung tâm giáo dục thường xuyên.</w:t>
            </w:r>
          </w:p>
          <w:p w:rsidR="00155244" w:rsidRPr="00DA3152" w:rsidRDefault="00155244"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bCs/>
                <w:iCs/>
                <w:sz w:val="28"/>
                <w:szCs w:val="28"/>
              </w:rPr>
              <w:t>d) Cho phép trung tâm giáo dục thường xuyên hoạt động giáo dục trở lại.</w:t>
            </w:r>
          </w:p>
          <w:p w:rsidR="00155244" w:rsidRPr="00DA3152" w:rsidRDefault="00155244"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bCs/>
                <w:iCs/>
                <w:sz w:val="28"/>
                <w:szCs w:val="28"/>
              </w:rPr>
              <w:t>đ) Đề nghị đánh giá, công nhận “Cộng đồng học tập” cấp huyện.</w:t>
            </w:r>
          </w:p>
          <w:p w:rsidR="00155244" w:rsidRPr="00DA3152" w:rsidRDefault="00155244"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bCs/>
                <w:iCs/>
                <w:sz w:val="28"/>
                <w:szCs w:val="28"/>
              </w:rPr>
              <w:t>e) Đề nghị đánh giá, công nhận “Cộng đồng học tập” cấp xã.</w:t>
            </w:r>
          </w:p>
          <w:p w:rsidR="00155244" w:rsidRPr="00DA3152" w:rsidRDefault="00155244"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bCs/>
                <w:iCs/>
                <w:sz w:val="28"/>
                <w:szCs w:val="28"/>
              </w:rPr>
              <w:t>g) Thành lập trung tâm học tập cộng đồng.</w:t>
            </w:r>
          </w:p>
          <w:p w:rsidR="00155244" w:rsidRPr="00DA3152" w:rsidRDefault="00155244"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bCs/>
                <w:iCs/>
                <w:sz w:val="28"/>
                <w:szCs w:val="28"/>
              </w:rPr>
              <w:t>h) Cho phép trung tâm học tập cộng đồng hoạt động trở lại.</w:t>
            </w:r>
          </w:p>
        </w:tc>
      </w:tr>
      <w:tr w:rsidR="00DA3152" w:rsidRPr="00DA3152" w:rsidTr="00DA3152">
        <w:trPr>
          <w:trHeight w:val="714"/>
        </w:trPr>
        <w:tc>
          <w:tcPr>
            <w:tcW w:w="846" w:type="dxa"/>
            <w:vAlign w:val="center"/>
          </w:tcPr>
          <w:p w:rsidR="00155244" w:rsidRPr="00DA3152" w:rsidRDefault="00155244"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155244" w:rsidRPr="00DA3152" w:rsidRDefault="0008466A"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Long An</w:t>
            </w:r>
          </w:p>
        </w:tc>
        <w:tc>
          <w:tcPr>
            <w:tcW w:w="7796" w:type="dxa"/>
            <w:vAlign w:val="center"/>
          </w:tcPr>
          <w:p w:rsidR="00155244" w:rsidRPr="00473D59" w:rsidRDefault="0008466A" w:rsidP="00DA3152">
            <w:pPr>
              <w:spacing w:before="40" w:after="40" w:line="240" w:lineRule="auto"/>
              <w:jc w:val="both"/>
              <w:rPr>
                <w:rFonts w:ascii="Times New Roman" w:hAnsi="Times New Roman" w:cs="Times New Roman"/>
                <w:bCs/>
                <w:iCs/>
                <w:sz w:val="28"/>
                <w:szCs w:val="28"/>
              </w:rPr>
            </w:pPr>
            <w:r w:rsidRPr="00473D59">
              <w:rPr>
                <w:rFonts w:ascii="Times New Roman" w:hAnsi="Times New Roman" w:cs="Times New Roman"/>
                <w:bCs/>
                <w:sz w:val="28"/>
                <w:szCs w:val="28"/>
              </w:rPr>
              <w:t>Đề nghị Bộ Giáo dục và Đào tạo</w:t>
            </w:r>
            <w:r w:rsidRPr="00473D59">
              <w:rPr>
                <w:rFonts w:ascii="Times New Roman" w:hAnsi="Times New Roman" w:cs="Times New Roman"/>
                <w:sz w:val="28"/>
                <w:szCs w:val="28"/>
              </w:rPr>
              <w:t xml:space="preserve"> sửa đổi TTHC “Chuyển trường đối với học sinh trung học cơ sở - 2.002481” (bỏ thành phần hồ sơ là Giấy chứng nhận trúng tuyển vào lớp đầu cấp trung học phổ thông quy định cụ thể loại hình trường được tuyển (công lập hoặc tư thục); do Hệ thống giáo dục hiện nay không có giấy chứng nhận trúng tuyển lớp 6. Trên cơ sở dữ liệu quốc gia về </w:t>
            </w:r>
            <w:r w:rsidR="002338C0">
              <w:rPr>
                <w:rFonts w:ascii="Times New Roman" w:hAnsi="Times New Roman" w:cs="Times New Roman"/>
                <w:sz w:val="28"/>
                <w:szCs w:val="28"/>
              </w:rPr>
              <w:t xml:space="preserve"> TTHC</w:t>
            </w:r>
            <w:r w:rsidRPr="00473D59">
              <w:rPr>
                <w:rFonts w:ascii="Times New Roman" w:hAnsi="Times New Roman" w:cs="Times New Roman"/>
                <w:sz w:val="28"/>
                <w:szCs w:val="28"/>
              </w:rPr>
              <w:t>, Bộ Giáo dục và đào tạo nhập dữ liệu không có thành phần hồ sơ này, tuy nhiên tại Quyết định số 941/QĐ-BGDĐT ngày 06/4/2022 công bố có thành phần hồ sơ nêu trên.</w:t>
            </w:r>
          </w:p>
        </w:tc>
      </w:tr>
      <w:tr w:rsidR="00DA3152" w:rsidRPr="00DA3152" w:rsidTr="00DA3152">
        <w:trPr>
          <w:trHeight w:val="714"/>
        </w:trPr>
        <w:tc>
          <w:tcPr>
            <w:tcW w:w="846" w:type="dxa"/>
            <w:vAlign w:val="center"/>
          </w:tcPr>
          <w:p w:rsidR="00E55128" w:rsidRPr="00DA3152" w:rsidRDefault="00E55128"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E55128" w:rsidRPr="00DA3152" w:rsidRDefault="00E55128"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Hưng Yên</w:t>
            </w:r>
          </w:p>
        </w:tc>
        <w:tc>
          <w:tcPr>
            <w:tcW w:w="7796" w:type="dxa"/>
            <w:vAlign w:val="center"/>
          </w:tcPr>
          <w:p w:rsidR="00E55128" w:rsidRPr="00473D59" w:rsidRDefault="00E55128" w:rsidP="00DA3152">
            <w:pPr>
              <w:spacing w:before="40" w:after="40" w:line="240" w:lineRule="auto"/>
              <w:jc w:val="both"/>
              <w:rPr>
                <w:rFonts w:ascii="Times New Roman" w:hAnsi="Times New Roman" w:cs="Times New Roman"/>
                <w:bCs/>
                <w:sz w:val="28"/>
                <w:szCs w:val="28"/>
              </w:rPr>
            </w:pPr>
            <w:r w:rsidRPr="00473D59">
              <w:rPr>
                <w:rFonts w:ascii="Times New Roman" w:hAnsi="Times New Roman" w:cs="Times New Roman"/>
                <w:bCs/>
                <w:sz w:val="28"/>
                <w:szCs w:val="28"/>
              </w:rPr>
              <w:t>Đề nghị Bộ Giáo dục và Đào tạo</w:t>
            </w:r>
            <w:r w:rsidRPr="00473D59">
              <w:rPr>
                <w:rFonts w:ascii="Times New Roman" w:hAnsi="Times New Roman" w:cs="Times New Roman"/>
                <w:sz w:val="28"/>
                <w:szCs w:val="28"/>
              </w:rPr>
              <w:t xml:space="preserve"> rà soát các TTHC mã số 1.005143; 1.002407; 1.001714; 1.005144; 1.005090; 1.005092; 2.001914; 1.001000 và thực hiện công bố riêng TTHC cấp tỉnh và cấp huyện để thuận tiện cho địa phương theo dõi, giải quyết TTHC</w:t>
            </w:r>
          </w:p>
        </w:tc>
      </w:tr>
      <w:tr w:rsidR="00DA3152" w:rsidRPr="00DA3152" w:rsidTr="00DA3152">
        <w:tc>
          <w:tcPr>
            <w:tcW w:w="846" w:type="dxa"/>
            <w:vAlign w:val="center"/>
          </w:tcPr>
          <w:p w:rsidR="00F14EE6" w:rsidRPr="00DA3152" w:rsidRDefault="008938FB" w:rsidP="00DA3152">
            <w:pPr>
              <w:spacing w:before="40" w:after="40" w:line="240" w:lineRule="auto"/>
              <w:ind w:left="-108" w:right="-102" w:hanging="3"/>
              <w:jc w:val="center"/>
              <w:rPr>
                <w:rFonts w:ascii="Times New Roman" w:hAnsi="Times New Roman" w:cs="Times New Roman"/>
                <w:b/>
                <w:sz w:val="28"/>
                <w:szCs w:val="28"/>
              </w:rPr>
            </w:pPr>
            <w:r w:rsidRPr="00DA3152">
              <w:rPr>
                <w:rFonts w:ascii="Times New Roman" w:hAnsi="Times New Roman" w:cs="Times New Roman"/>
                <w:b/>
                <w:sz w:val="28"/>
                <w:szCs w:val="28"/>
              </w:rPr>
              <w:t>I</w:t>
            </w:r>
            <w:r w:rsidR="0076414A" w:rsidRPr="00DA3152">
              <w:rPr>
                <w:rFonts w:ascii="Times New Roman" w:hAnsi="Times New Roman" w:cs="Times New Roman"/>
                <w:b/>
                <w:sz w:val="28"/>
                <w:szCs w:val="28"/>
              </w:rPr>
              <w:t>V</w:t>
            </w:r>
          </w:p>
        </w:tc>
        <w:tc>
          <w:tcPr>
            <w:tcW w:w="9786" w:type="dxa"/>
            <w:gridSpan w:val="2"/>
            <w:vAlign w:val="center"/>
          </w:tcPr>
          <w:p w:rsidR="00F14EE6" w:rsidRPr="00DA3152" w:rsidRDefault="00F14EE6" w:rsidP="00DA3152">
            <w:pPr>
              <w:spacing w:before="40" w:after="40" w:line="240" w:lineRule="auto"/>
              <w:jc w:val="both"/>
              <w:rPr>
                <w:rFonts w:ascii="Times New Roman" w:hAnsi="Times New Roman" w:cs="Times New Roman"/>
                <w:b/>
                <w:sz w:val="28"/>
                <w:szCs w:val="28"/>
                <w:shd w:val="clear" w:color="auto" w:fill="FFFFFF"/>
              </w:rPr>
            </w:pPr>
            <w:r w:rsidRPr="00DA3152">
              <w:rPr>
                <w:rFonts w:ascii="Times New Roman" w:hAnsi="Times New Roman" w:cs="Times New Roman"/>
                <w:b/>
                <w:sz w:val="28"/>
                <w:szCs w:val="28"/>
                <w:shd w:val="clear" w:color="auto" w:fill="FFFFFF"/>
              </w:rPr>
              <w:t>Kiến nghị, đề xuất với Bộ Giao thông vận tải</w:t>
            </w:r>
          </w:p>
        </w:tc>
      </w:tr>
      <w:tr w:rsidR="00DA3152" w:rsidRPr="00DA3152" w:rsidTr="00DA3152">
        <w:tc>
          <w:tcPr>
            <w:tcW w:w="846" w:type="dxa"/>
            <w:vAlign w:val="center"/>
          </w:tcPr>
          <w:p w:rsidR="00B20EDA" w:rsidRPr="00DA3152" w:rsidRDefault="00B20EDA"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473D59" w:rsidRDefault="00B20EDA"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p>
          <w:p w:rsidR="00B20EDA" w:rsidRPr="00DA3152" w:rsidRDefault="00B20EDA"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Đắk Lắk</w:t>
            </w:r>
          </w:p>
        </w:tc>
        <w:tc>
          <w:tcPr>
            <w:tcW w:w="7796" w:type="dxa"/>
            <w:vAlign w:val="center"/>
          </w:tcPr>
          <w:p w:rsidR="00B20EDA" w:rsidRPr="00DA3152" w:rsidRDefault="00B20EDA" w:rsidP="00DA3152">
            <w:pPr>
              <w:spacing w:before="40" w:after="40" w:line="240" w:lineRule="auto"/>
              <w:jc w:val="both"/>
              <w:rPr>
                <w:rFonts w:ascii="Times New Roman" w:hAnsi="Times New Roman" w:cs="Times New Roman"/>
                <w:sz w:val="28"/>
                <w:szCs w:val="28"/>
                <w:shd w:val="clear" w:color="auto" w:fill="FFFFFF"/>
              </w:rPr>
            </w:pPr>
            <w:r w:rsidRPr="00473D59">
              <w:rPr>
                <w:rFonts w:ascii="Times New Roman" w:hAnsi="Times New Roman" w:cs="Times New Roman"/>
                <w:bCs/>
                <w:iCs/>
                <w:sz w:val="28"/>
                <w:szCs w:val="28"/>
              </w:rPr>
              <w:t>Kiến nghị Bộ Giao thông vận tải:</w:t>
            </w:r>
            <w:r w:rsidRPr="00DA3152">
              <w:rPr>
                <w:rFonts w:ascii="Times New Roman" w:hAnsi="Times New Roman" w:cs="Times New Roman"/>
                <w:b/>
                <w:bCs/>
                <w:i/>
                <w:iCs/>
                <w:sz w:val="28"/>
                <w:szCs w:val="28"/>
              </w:rPr>
              <w:t xml:space="preserve"> </w:t>
            </w:r>
            <w:r w:rsidRPr="00DA3152">
              <w:rPr>
                <w:rFonts w:ascii="Times New Roman" w:hAnsi="Times New Roman" w:cs="Times New Roman"/>
                <w:sz w:val="28"/>
                <w:szCs w:val="28"/>
              </w:rPr>
              <w:t xml:space="preserve">Theo Quyết định số 1531/QĐ-BGTVT ngày 23/11/2023 của Bộ Giao thông vận tải quy định tên TTHC là “Chấp thuận thiết kế kỹ thuật và phương án tổ chức thi công của nút giao thông đầu nối vào quốc lộ”, tuy nhiên, trên cơ sở dữ liệu quốc gia về TTHC là “Chấp thuận thiết kế kỹ thuật và </w:t>
            </w:r>
            <w:r w:rsidRPr="00DA3152">
              <w:rPr>
                <w:rFonts w:ascii="Times New Roman" w:hAnsi="Times New Roman" w:cs="Times New Roman"/>
                <w:sz w:val="28"/>
                <w:szCs w:val="28"/>
              </w:rPr>
              <w:lastRenderedPageBreak/>
              <w:t>phương án tổ chức giao thông của nút giao đấu nối vào quốc lộ, điểm đấu nối tạm thời có thời hạn vào quốc lộ đang khai thác” (Mã TTHC: 1.001046). Do đó, đề nghị Bộ Giao thông vận tải cập nhật đúng tên TTHC cho thống nhất, đồng bộ.</w:t>
            </w:r>
          </w:p>
        </w:tc>
      </w:tr>
      <w:tr w:rsidR="00DA3152" w:rsidRPr="00DA3152" w:rsidTr="00DA3152">
        <w:tc>
          <w:tcPr>
            <w:tcW w:w="846" w:type="dxa"/>
            <w:vAlign w:val="center"/>
          </w:tcPr>
          <w:p w:rsidR="00B20EDA" w:rsidRPr="00DA3152" w:rsidRDefault="00B20EDA"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B20EDA" w:rsidRPr="00DA3152" w:rsidRDefault="0045666F"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r w:rsidR="00DD2F08">
              <w:rPr>
                <w:rFonts w:ascii="Times New Roman" w:hAnsi="Times New Roman" w:cs="Times New Roman"/>
                <w:spacing w:val="-6"/>
                <w:sz w:val="28"/>
                <w:szCs w:val="28"/>
              </w:rPr>
              <w:br/>
            </w:r>
            <w:r w:rsidRPr="00DA3152">
              <w:rPr>
                <w:rFonts w:ascii="Times New Roman" w:hAnsi="Times New Roman" w:cs="Times New Roman"/>
                <w:spacing w:val="-6"/>
                <w:sz w:val="28"/>
                <w:szCs w:val="28"/>
              </w:rPr>
              <w:t>Hải Dương</w:t>
            </w:r>
          </w:p>
        </w:tc>
        <w:tc>
          <w:tcPr>
            <w:tcW w:w="7796" w:type="dxa"/>
            <w:vAlign w:val="center"/>
          </w:tcPr>
          <w:p w:rsidR="00B20EDA" w:rsidRPr="00DA3152" w:rsidRDefault="0045666F" w:rsidP="00DA3152">
            <w:pPr>
              <w:spacing w:before="40" w:after="40" w:line="240" w:lineRule="auto"/>
              <w:jc w:val="both"/>
              <w:rPr>
                <w:rFonts w:ascii="Times New Roman" w:hAnsi="Times New Roman" w:cs="Times New Roman"/>
                <w:sz w:val="28"/>
                <w:szCs w:val="28"/>
                <w:shd w:val="clear" w:color="auto" w:fill="FFFFFF"/>
              </w:rPr>
            </w:pPr>
            <w:r w:rsidRPr="00473D59">
              <w:rPr>
                <w:rFonts w:ascii="Times New Roman" w:hAnsi="Times New Roman" w:cs="Times New Roman"/>
                <w:bCs/>
                <w:sz w:val="28"/>
                <w:szCs w:val="28"/>
              </w:rPr>
              <w:t>Đề nghị Bộ Giao thông vận tải:</w:t>
            </w:r>
            <w:r w:rsidRPr="00DA3152">
              <w:rPr>
                <w:rFonts w:ascii="Times New Roman" w:hAnsi="Times New Roman" w:cs="Times New Roman"/>
                <w:sz w:val="28"/>
                <w:szCs w:val="28"/>
              </w:rPr>
              <w:t xml:space="preserve"> quan tâm, đảm bảo các hệ thống, cơ sở dữ liệu chuyên ngành hoạt động ổn định nhằm kết nối, chia sẻ dữ liệu giải quyết TTHC với Hệ thống thông tin giải quyết </w:t>
            </w:r>
            <w:r w:rsidR="002338C0">
              <w:rPr>
                <w:rFonts w:ascii="Times New Roman" w:hAnsi="Times New Roman" w:cs="Times New Roman"/>
                <w:sz w:val="28"/>
                <w:szCs w:val="28"/>
              </w:rPr>
              <w:t xml:space="preserve"> TTHC</w:t>
            </w:r>
            <w:r w:rsidR="002338C0" w:rsidRPr="00DA3152">
              <w:rPr>
                <w:rFonts w:ascii="Times New Roman" w:hAnsi="Times New Roman" w:cs="Times New Roman"/>
                <w:sz w:val="28"/>
                <w:szCs w:val="28"/>
              </w:rPr>
              <w:t xml:space="preserve"> </w:t>
            </w:r>
            <w:r w:rsidRPr="00DA3152">
              <w:rPr>
                <w:rFonts w:ascii="Times New Roman" w:hAnsi="Times New Roman" w:cs="Times New Roman"/>
                <w:sz w:val="28"/>
                <w:szCs w:val="28"/>
              </w:rPr>
              <w:t xml:space="preserve"> của tỉnh phục vụ công tác thống kê, báo cáo, giám sát, đánh giá chất lượng giải quyết TTHC phục vụ người dân, doanh nghiệp (hệ thống quản lý một số lĩnh vực như: đăng kiểm; giấy phép lái xe, giấy phép kinh doanh vận tải; phù hiệu, biển hiệu nhiều lúc còn bị gián đoạn hoặc có kết nối nhưng không có thông tin, dữ liệu).</w:t>
            </w:r>
          </w:p>
        </w:tc>
      </w:tr>
      <w:tr w:rsidR="00DA3152" w:rsidRPr="00DA3152" w:rsidTr="00DA3152">
        <w:tc>
          <w:tcPr>
            <w:tcW w:w="846" w:type="dxa"/>
            <w:vAlign w:val="center"/>
          </w:tcPr>
          <w:p w:rsidR="00B20EDA" w:rsidRPr="00DA3152" w:rsidRDefault="00B20EDA"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B20EDA" w:rsidRPr="00DA3152" w:rsidRDefault="00247782"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Bình Phước</w:t>
            </w:r>
          </w:p>
        </w:tc>
        <w:tc>
          <w:tcPr>
            <w:tcW w:w="7796" w:type="dxa"/>
            <w:vAlign w:val="center"/>
          </w:tcPr>
          <w:p w:rsidR="00B20EDA" w:rsidRPr="00DA3152" w:rsidRDefault="00247782" w:rsidP="00DA3152">
            <w:pPr>
              <w:spacing w:before="40" w:after="40" w:line="240" w:lineRule="auto"/>
              <w:jc w:val="both"/>
              <w:rPr>
                <w:rFonts w:ascii="Times New Roman" w:hAnsi="Times New Roman" w:cs="Times New Roman"/>
                <w:sz w:val="28"/>
                <w:szCs w:val="28"/>
                <w:shd w:val="clear" w:color="auto" w:fill="FFFFFF"/>
              </w:rPr>
            </w:pPr>
            <w:r w:rsidRPr="00DA3152">
              <w:rPr>
                <w:rFonts w:ascii="Times New Roman" w:hAnsi="Times New Roman" w:cs="Times New Roman"/>
                <w:bCs/>
                <w:iCs/>
                <w:sz w:val="28"/>
                <w:szCs w:val="28"/>
              </w:rPr>
              <w:t>Kiến nghị Bộ Giao thông vận tải</w:t>
            </w:r>
            <w:r w:rsidRPr="00DA3152">
              <w:rPr>
                <w:rFonts w:ascii="Times New Roman" w:hAnsi="Times New Roman" w:cs="Times New Roman"/>
                <w:sz w:val="28"/>
                <w:szCs w:val="28"/>
              </w:rPr>
              <w:t xml:space="preserve"> xem xét để xuất, kiến nghị của Sở Giao thông vận tải tại Công văn số 575/SGTVT-VTPTNL ngày 15/5/2024 về đề nghị hỗ trợ, xem xét tình trạng trễ hạn đối với những hồ sơ lĩnh vực quản lý vận tải đang ở trạng thái “Yêu cầu bổ sung hồ sơ” và chuyển trạng thái đối với hồ sơ dịch vụ công toàn trình “Cấp đổi giấy phép lái xe do ngành Giao thông vận tải cấp</w:t>
            </w:r>
          </w:p>
        </w:tc>
      </w:tr>
      <w:tr w:rsidR="00DA3152" w:rsidRPr="00DA3152" w:rsidTr="00DA3152">
        <w:tc>
          <w:tcPr>
            <w:tcW w:w="846" w:type="dxa"/>
            <w:vAlign w:val="center"/>
          </w:tcPr>
          <w:p w:rsidR="00625654" w:rsidRPr="00DA3152" w:rsidRDefault="008938FB" w:rsidP="00DA3152">
            <w:pPr>
              <w:spacing w:before="40" w:after="40" w:line="240" w:lineRule="auto"/>
              <w:ind w:left="-108" w:right="-102" w:hanging="3"/>
              <w:jc w:val="center"/>
              <w:rPr>
                <w:rFonts w:ascii="Times New Roman" w:hAnsi="Times New Roman" w:cs="Times New Roman"/>
                <w:b/>
                <w:sz w:val="28"/>
                <w:szCs w:val="28"/>
              </w:rPr>
            </w:pPr>
            <w:r w:rsidRPr="00DA3152">
              <w:rPr>
                <w:rFonts w:ascii="Times New Roman" w:hAnsi="Times New Roman" w:cs="Times New Roman"/>
                <w:b/>
                <w:sz w:val="28"/>
                <w:szCs w:val="28"/>
              </w:rPr>
              <w:t>V</w:t>
            </w:r>
          </w:p>
        </w:tc>
        <w:tc>
          <w:tcPr>
            <w:tcW w:w="9786" w:type="dxa"/>
            <w:gridSpan w:val="2"/>
            <w:vAlign w:val="center"/>
          </w:tcPr>
          <w:p w:rsidR="00625654" w:rsidRPr="00DA3152" w:rsidRDefault="00625654" w:rsidP="00DA3152">
            <w:pPr>
              <w:spacing w:before="40" w:after="40" w:line="240" w:lineRule="auto"/>
              <w:jc w:val="both"/>
              <w:rPr>
                <w:rFonts w:ascii="Times New Roman" w:hAnsi="Times New Roman" w:cs="Times New Roman"/>
                <w:sz w:val="28"/>
                <w:szCs w:val="28"/>
              </w:rPr>
            </w:pPr>
            <w:r w:rsidRPr="00DA3152">
              <w:rPr>
                <w:rFonts w:ascii="Times New Roman" w:hAnsi="Times New Roman" w:cs="Times New Roman"/>
                <w:b/>
                <w:spacing w:val="-6"/>
                <w:sz w:val="28"/>
                <w:szCs w:val="28"/>
              </w:rPr>
              <w:t>Kiến nghị, đề xuất với Bộ Kế hoạch và Đầu tư</w:t>
            </w:r>
          </w:p>
        </w:tc>
      </w:tr>
      <w:tr w:rsidR="00DA3152" w:rsidRPr="00DA3152" w:rsidTr="00DA3152">
        <w:tc>
          <w:tcPr>
            <w:tcW w:w="846" w:type="dxa"/>
            <w:vAlign w:val="center"/>
          </w:tcPr>
          <w:p w:rsidR="007729EF" w:rsidRPr="00DA3152" w:rsidRDefault="007729EF"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7729EF" w:rsidRPr="00DA3152" w:rsidRDefault="007729EF"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Điện Biên</w:t>
            </w:r>
          </w:p>
        </w:tc>
        <w:tc>
          <w:tcPr>
            <w:tcW w:w="7796" w:type="dxa"/>
            <w:vAlign w:val="center"/>
          </w:tcPr>
          <w:p w:rsidR="007729EF" w:rsidRPr="00473D59" w:rsidRDefault="007729EF" w:rsidP="00DA3152">
            <w:pPr>
              <w:spacing w:before="40" w:after="40" w:line="240" w:lineRule="auto"/>
              <w:jc w:val="both"/>
              <w:rPr>
                <w:rFonts w:ascii="Times New Roman" w:hAnsi="Times New Roman" w:cs="Times New Roman"/>
                <w:bCs/>
                <w:iCs/>
                <w:sz w:val="28"/>
                <w:szCs w:val="28"/>
              </w:rPr>
            </w:pPr>
            <w:r w:rsidRPr="00473D59">
              <w:rPr>
                <w:rFonts w:ascii="Times New Roman" w:hAnsi="Times New Roman" w:cs="Times New Roman"/>
                <w:bCs/>
                <w:iCs/>
                <w:sz w:val="28"/>
                <w:szCs w:val="28"/>
              </w:rPr>
              <w:t>Kiến nghị Bộ Kế hoạch và Đầu tư có giải pháp đồng bộ kịp thời về thông tin trạng thái xử lý hồ sơ giữa Hệ thống thông tin quốc gia về đăng ký doanh nghiệp và Cổng Dịch vụ công quốc gia</w:t>
            </w:r>
          </w:p>
        </w:tc>
      </w:tr>
      <w:tr w:rsidR="00DA3152" w:rsidRPr="00DA3152" w:rsidTr="00DA3152">
        <w:tc>
          <w:tcPr>
            <w:tcW w:w="846" w:type="dxa"/>
            <w:vAlign w:val="center"/>
          </w:tcPr>
          <w:p w:rsidR="002A01AA" w:rsidRPr="00DA3152" w:rsidRDefault="002A01AA"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2A01AA" w:rsidRPr="00DA3152" w:rsidRDefault="002A01AA"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r w:rsidR="00DD2F08">
              <w:rPr>
                <w:rFonts w:ascii="Times New Roman" w:hAnsi="Times New Roman" w:cs="Times New Roman"/>
                <w:spacing w:val="-6"/>
                <w:sz w:val="28"/>
                <w:szCs w:val="28"/>
              </w:rPr>
              <w:br/>
            </w:r>
            <w:r w:rsidRPr="00DA3152">
              <w:rPr>
                <w:rFonts w:ascii="Times New Roman" w:hAnsi="Times New Roman" w:cs="Times New Roman"/>
                <w:spacing w:val="-6"/>
                <w:sz w:val="28"/>
                <w:szCs w:val="28"/>
              </w:rPr>
              <w:t>Tây Ninh</w:t>
            </w:r>
          </w:p>
        </w:tc>
        <w:tc>
          <w:tcPr>
            <w:tcW w:w="7796" w:type="dxa"/>
            <w:vAlign w:val="center"/>
          </w:tcPr>
          <w:p w:rsidR="002A01AA" w:rsidRPr="00473D59" w:rsidRDefault="002A01AA" w:rsidP="00DA3152">
            <w:pPr>
              <w:spacing w:before="40" w:after="40" w:line="240" w:lineRule="auto"/>
              <w:jc w:val="both"/>
              <w:rPr>
                <w:rFonts w:ascii="Times New Roman" w:hAnsi="Times New Roman" w:cs="Times New Roman"/>
                <w:bCs/>
                <w:iCs/>
                <w:sz w:val="28"/>
                <w:szCs w:val="28"/>
              </w:rPr>
            </w:pPr>
            <w:r w:rsidRPr="00473D59">
              <w:rPr>
                <w:rFonts w:ascii="Times New Roman" w:hAnsi="Times New Roman" w:cs="Times New Roman"/>
                <w:bCs/>
                <w:sz w:val="28"/>
                <w:szCs w:val="28"/>
              </w:rPr>
              <w:t>Kiến nghị Bộ Kế hoạch và Đầu tư</w:t>
            </w:r>
            <w:r w:rsidRPr="00473D59">
              <w:rPr>
                <w:rFonts w:ascii="Times New Roman" w:hAnsi="Times New Roman" w:cs="Times New Roman"/>
                <w:sz w:val="28"/>
                <w:szCs w:val="28"/>
              </w:rPr>
              <w:t xml:space="preserve">: Căn cứ Quyết định 654/QĐ-BKHĐT ngày 05/4/2019 của Bộ Kế hoạch và Đầu tư về việc công bố Danh mục </w:t>
            </w:r>
            <w:r w:rsidR="002338C0">
              <w:rPr>
                <w:rFonts w:ascii="Times New Roman" w:hAnsi="Times New Roman" w:cs="Times New Roman"/>
                <w:sz w:val="28"/>
                <w:szCs w:val="28"/>
              </w:rPr>
              <w:t xml:space="preserve"> TTHC</w:t>
            </w:r>
            <w:r w:rsidR="002338C0" w:rsidRPr="00DA3152">
              <w:rPr>
                <w:rFonts w:ascii="Times New Roman" w:hAnsi="Times New Roman" w:cs="Times New Roman"/>
                <w:sz w:val="28"/>
                <w:szCs w:val="28"/>
              </w:rPr>
              <w:t xml:space="preserve"> </w:t>
            </w:r>
            <w:r w:rsidRPr="00473D59">
              <w:rPr>
                <w:rFonts w:ascii="Times New Roman" w:hAnsi="Times New Roman" w:cs="Times New Roman"/>
                <w:sz w:val="28"/>
                <w:szCs w:val="28"/>
              </w:rPr>
              <w:t xml:space="preserve">sửa đổi, bổ sung, hủy bỏ trong lĩnh vực thành lập và hoạt động của liên hiệp hợp tác xã và hợp tác xã thuộc phạm vi chức năng quản lý của Bộ Kế hoạch và Đầu tư, thì mã </w:t>
            </w:r>
            <w:r w:rsidR="009B0D3F">
              <w:rPr>
                <w:rFonts w:ascii="Times New Roman" w:hAnsi="Times New Roman" w:cs="Times New Roman"/>
                <w:sz w:val="28"/>
                <w:szCs w:val="28"/>
              </w:rPr>
              <w:t>TTHC</w:t>
            </w:r>
            <w:r w:rsidR="009B0D3F" w:rsidRPr="00473D59">
              <w:rPr>
                <w:rFonts w:ascii="Times New Roman" w:hAnsi="Times New Roman" w:cs="Times New Roman"/>
                <w:sz w:val="28"/>
                <w:szCs w:val="28"/>
              </w:rPr>
              <w:t xml:space="preserve"> </w:t>
            </w:r>
            <w:r w:rsidRPr="00473D59">
              <w:rPr>
                <w:rFonts w:ascii="Times New Roman" w:hAnsi="Times New Roman" w:cs="Times New Roman"/>
                <w:sz w:val="28"/>
                <w:szCs w:val="28"/>
              </w:rPr>
              <w:t xml:space="preserve"> số 1.005280 có tên là “ Đăng ký thành lập Hợp tác xã”. Tuy nhiên, hiện tại trên Cổng Dịch vụ công Quốc gia đang thể hiện mã </w:t>
            </w:r>
            <w:r w:rsidR="002338C0">
              <w:rPr>
                <w:rFonts w:ascii="Times New Roman" w:hAnsi="Times New Roman" w:cs="Times New Roman"/>
                <w:sz w:val="28"/>
                <w:szCs w:val="28"/>
              </w:rPr>
              <w:t>TTHC</w:t>
            </w:r>
            <w:r w:rsidR="002338C0" w:rsidRPr="00DA3152">
              <w:rPr>
                <w:rFonts w:ascii="Times New Roman" w:hAnsi="Times New Roman" w:cs="Times New Roman"/>
                <w:sz w:val="28"/>
                <w:szCs w:val="28"/>
              </w:rPr>
              <w:t xml:space="preserve"> </w:t>
            </w:r>
            <w:r w:rsidRPr="00473D59">
              <w:rPr>
                <w:rFonts w:ascii="Times New Roman" w:hAnsi="Times New Roman" w:cs="Times New Roman"/>
                <w:sz w:val="28"/>
                <w:szCs w:val="28"/>
              </w:rPr>
              <w:t xml:space="preserve">số 1.005280 có tên là “ Đăng ký thành lập hợp tác xã, liên hiệp hợp tác xã; đăng ký chuyển đổi tổ hợp tác thành hợp tác xã; đăng ký khi hợp tác xã, liên hiệp hợp tác xã chia, tách, hợp nhất”. Do đó, kiến nghị thực hiện điều chỉnh lại tên </w:t>
            </w:r>
            <w:r w:rsidR="009B0D3F">
              <w:rPr>
                <w:rFonts w:ascii="Times New Roman" w:hAnsi="Times New Roman" w:cs="Times New Roman"/>
                <w:sz w:val="28"/>
                <w:szCs w:val="28"/>
              </w:rPr>
              <w:t>TTHC</w:t>
            </w:r>
            <w:r w:rsidR="009B0D3F" w:rsidRPr="00473D59">
              <w:rPr>
                <w:rFonts w:ascii="Times New Roman" w:hAnsi="Times New Roman" w:cs="Times New Roman"/>
                <w:sz w:val="28"/>
                <w:szCs w:val="28"/>
              </w:rPr>
              <w:t xml:space="preserve"> </w:t>
            </w:r>
            <w:r w:rsidRPr="00473D59">
              <w:rPr>
                <w:rFonts w:ascii="Times New Roman" w:hAnsi="Times New Roman" w:cs="Times New Roman"/>
                <w:sz w:val="28"/>
                <w:szCs w:val="28"/>
              </w:rPr>
              <w:t>đối với mã số</w:t>
            </w:r>
            <w:r w:rsidR="002338C0">
              <w:rPr>
                <w:rFonts w:ascii="Times New Roman" w:hAnsi="Times New Roman" w:cs="Times New Roman"/>
                <w:sz w:val="28"/>
                <w:szCs w:val="28"/>
              </w:rPr>
              <w:t xml:space="preserve"> TTHC</w:t>
            </w:r>
            <w:r w:rsidR="002338C0" w:rsidRPr="00DA3152">
              <w:rPr>
                <w:rFonts w:ascii="Times New Roman" w:hAnsi="Times New Roman" w:cs="Times New Roman"/>
                <w:sz w:val="28"/>
                <w:szCs w:val="28"/>
              </w:rPr>
              <w:t xml:space="preserve"> </w:t>
            </w:r>
            <w:r w:rsidRPr="00473D59">
              <w:rPr>
                <w:rFonts w:ascii="Times New Roman" w:hAnsi="Times New Roman" w:cs="Times New Roman"/>
                <w:sz w:val="28"/>
                <w:szCs w:val="28"/>
              </w:rPr>
              <w:t>này.</w:t>
            </w:r>
          </w:p>
        </w:tc>
      </w:tr>
      <w:tr w:rsidR="00DA3152" w:rsidRPr="00DA3152" w:rsidTr="00DA3152">
        <w:tc>
          <w:tcPr>
            <w:tcW w:w="846" w:type="dxa"/>
            <w:vAlign w:val="center"/>
          </w:tcPr>
          <w:p w:rsidR="0012428A" w:rsidRPr="00DA3152" w:rsidRDefault="00DA3152" w:rsidP="00DA3152">
            <w:pPr>
              <w:pStyle w:val="ListParagraph"/>
              <w:spacing w:before="40" w:after="40" w:line="240" w:lineRule="auto"/>
              <w:ind w:left="177" w:right="-102"/>
              <w:rPr>
                <w:rFonts w:ascii="Times New Roman" w:hAnsi="Times New Roman" w:cs="Times New Roman"/>
                <w:b/>
                <w:sz w:val="28"/>
                <w:szCs w:val="28"/>
              </w:rPr>
            </w:pPr>
            <w:r w:rsidRPr="00DA3152">
              <w:rPr>
                <w:rFonts w:ascii="Times New Roman" w:hAnsi="Times New Roman" w:cs="Times New Roman"/>
                <w:b/>
                <w:sz w:val="28"/>
                <w:szCs w:val="28"/>
              </w:rPr>
              <w:t>VI</w:t>
            </w:r>
          </w:p>
        </w:tc>
        <w:tc>
          <w:tcPr>
            <w:tcW w:w="9786" w:type="dxa"/>
            <w:gridSpan w:val="2"/>
            <w:vAlign w:val="center"/>
          </w:tcPr>
          <w:p w:rsidR="0012428A" w:rsidRPr="00DA3152" w:rsidRDefault="0012428A" w:rsidP="00DA3152">
            <w:pPr>
              <w:spacing w:before="40" w:after="40" w:line="240" w:lineRule="auto"/>
              <w:jc w:val="both"/>
              <w:rPr>
                <w:rFonts w:ascii="Times New Roman" w:hAnsi="Times New Roman" w:cs="Times New Roman"/>
                <w:b/>
                <w:sz w:val="28"/>
                <w:szCs w:val="28"/>
                <w:shd w:val="clear" w:color="auto" w:fill="FFFFFF"/>
              </w:rPr>
            </w:pPr>
            <w:r w:rsidRPr="00DA3152">
              <w:rPr>
                <w:rFonts w:ascii="Times New Roman" w:hAnsi="Times New Roman" w:cs="Times New Roman"/>
                <w:b/>
                <w:spacing w:val="-6"/>
                <w:sz w:val="28"/>
                <w:szCs w:val="28"/>
              </w:rPr>
              <w:t>Kiến nghị, đề xuất với Bộ Nội vụ</w:t>
            </w:r>
          </w:p>
        </w:tc>
      </w:tr>
      <w:tr w:rsidR="00DA3152" w:rsidRPr="00DA3152" w:rsidTr="00DA3152">
        <w:tc>
          <w:tcPr>
            <w:tcW w:w="846" w:type="dxa"/>
            <w:vAlign w:val="center"/>
          </w:tcPr>
          <w:p w:rsidR="00605CB9" w:rsidRPr="00DA3152" w:rsidRDefault="00605CB9"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605CB9" w:rsidRPr="00DA3152" w:rsidRDefault="00605CB9"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Nghệ An</w:t>
            </w:r>
          </w:p>
        </w:tc>
        <w:tc>
          <w:tcPr>
            <w:tcW w:w="7796" w:type="dxa"/>
            <w:vAlign w:val="center"/>
          </w:tcPr>
          <w:p w:rsidR="00605CB9" w:rsidRPr="00C0748E" w:rsidRDefault="00605CB9" w:rsidP="00DA3152">
            <w:pPr>
              <w:spacing w:before="40" w:after="40" w:line="240" w:lineRule="auto"/>
              <w:jc w:val="both"/>
              <w:rPr>
                <w:rFonts w:ascii="Times New Roman" w:hAnsi="Times New Roman" w:cs="Times New Roman"/>
                <w:spacing w:val="-2"/>
                <w:sz w:val="28"/>
                <w:szCs w:val="28"/>
                <w:shd w:val="clear" w:color="auto" w:fill="FFFFFF"/>
              </w:rPr>
            </w:pPr>
            <w:r w:rsidRPr="00C0748E">
              <w:rPr>
                <w:rFonts w:ascii="Times New Roman" w:hAnsi="Times New Roman" w:cs="Times New Roman"/>
                <w:spacing w:val="-2"/>
                <w:sz w:val="28"/>
                <w:szCs w:val="28"/>
                <w:shd w:val="clear" w:color="auto" w:fill="FFFFFF"/>
              </w:rPr>
              <w:t>Kiến nghị Bộ Nội vụ bổ sung, sửa đổi các tiêu chí chấm điểm quy định tại Bảng 2 của Đề án xác định chỉ số cải cách hành chính của các Bộ, cơ quan ngang Bộ, Ủy ban nhân dân tỉnh, thành phố trực thuộc Trung ương giai đoạn 2022-2030 ban hành kèm theo Quyết định số 876/QĐ-BNV ngày 10/11/2022 của Bộ trưởng Bộ Nội vụ, cụ thể:</w:t>
            </w:r>
          </w:p>
          <w:p w:rsidR="00605CB9" w:rsidRPr="00C0748E" w:rsidRDefault="00605CB9" w:rsidP="00DA3152">
            <w:pPr>
              <w:spacing w:before="40" w:after="40" w:line="240" w:lineRule="auto"/>
              <w:jc w:val="both"/>
              <w:rPr>
                <w:rFonts w:ascii="Times New Roman" w:hAnsi="Times New Roman" w:cs="Times New Roman"/>
                <w:spacing w:val="-2"/>
                <w:sz w:val="28"/>
                <w:szCs w:val="28"/>
                <w:shd w:val="clear" w:color="auto" w:fill="FFFFFF"/>
              </w:rPr>
            </w:pPr>
            <w:r w:rsidRPr="00C0748E">
              <w:rPr>
                <w:rFonts w:ascii="Times New Roman" w:hAnsi="Times New Roman" w:cs="Times New Roman"/>
                <w:spacing w:val="-2"/>
                <w:sz w:val="28"/>
                <w:szCs w:val="28"/>
                <w:shd w:val="clear" w:color="auto" w:fill="FFFFFF"/>
              </w:rPr>
              <w:t xml:space="preserve"> - Bổ sung theo Bộ chỉ số chỉ đạo, điều hành và đánh giá chất lượng phục vụ người dân, doanh nghiệp trong thực hiện </w:t>
            </w:r>
            <w:r w:rsidR="002338C0" w:rsidRPr="00C0748E">
              <w:rPr>
                <w:rFonts w:ascii="Times New Roman" w:hAnsi="Times New Roman" w:cs="Times New Roman"/>
                <w:spacing w:val="-2"/>
                <w:sz w:val="28"/>
                <w:szCs w:val="28"/>
              </w:rPr>
              <w:t xml:space="preserve"> TTHC </w:t>
            </w:r>
            <w:r w:rsidRPr="00C0748E">
              <w:rPr>
                <w:rFonts w:ascii="Times New Roman" w:hAnsi="Times New Roman" w:cs="Times New Roman"/>
                <w:spacing w:val="-2"/>
                <w:sz w:val="28"/>
                <w:szCs w:val="28"/>
                <w:shd w:val="clear" w:color="auto" w:fill="FFFFFF"/>
              </w:rPr>
              <w:t xml:space="preserve">, dịch vụ công theo thời gian thực trên môi trường điện tử ban hành kèm theo </w:t>
            </w:r>
            <w:r w:rsidRPr="00C0748E">
              <w:rPr>
                <w:rFonts w:ascii="Times New Roman" w:hAnsi="Times New Roman" w:cs="Times New Roman"/>
                <w:spacing w:val="-2"/>
                <w:sz w:val="28"/>
                <w:szCs w:val="28"/>
                <w:shd w:val="clear" w:color="auto" w:fill="FFFFFF"/>
              </w:rPr>
              <w:lastRenderedPageBreak/>
              <w:t>Quyết định số 766/QĐ-TTg ngày 23/6/2022 của Thủ tướng Chính phủ, cụ thể như sau: Tỷ lệ phản ánh, kiến nghị xử lý đúng hạn; Tỷ lệ khai thác, sử dụng lại thông tin, dữ liệu số hóa; Tỷ lệ cung cấp dịch vụ chứng thực bản sao điện tử từ bản chính; Tỷ lệ hồ sơ TTHC được số hóa có kết nối, đồng bộ với danh mục hồ sơ của cá nhân, tổ chức trên Cổng Dịch vụ công quốc gia;</w:t>
            </w:r>
          </w:p>
          <w:p w:rsidR="00605CB9" w:rsidRPr="005F7C82" w:rsidRDefault="00605CB9" w:rsidP="00DA3152">
            <w:pPr>
              <w:spacing w:before="40" w:after="40" w:line="240" w:lineRule="auto"/>
              <w:jc w:val="both"/>
              <w:rPr>
                <w:rFonts w:ascii="Times New Roman" w:hAnsi="Times New Roman" w:cs="Times New Roman"/>
                <w:spacing w:val="-4"/>
                <w:sz w:val="28"/>
                <w:szCs w:val="28"/>
                <w:shd w:val="clear" w:color="auto" w:fill="FFFFFF"/>
              </w:rPr>
            </w:pPr>
            <w:r w:rsidRPr="005F7C82">
              <w:rPr>
                <w:rFonts w:ascii="Times New Roman" w:hAnsi="Times New Roman" w:cs="Times New Roman"/>
                <w:spacing w:val="-4"/>
                <w:sz w:val="28"/>
                <w:szCs w:val="28"/>
                <w:shd w:val="clear" w:color="auto" w:fill="FFFFFF"/>
              </w:rPr>
              <w:t xml:space="preserve">- Bổ sung tiêu chí: Rà soát, đơn giản hoá </w:t>
            </w:r>
            <w:r w:rsidR="002338C0" w:rsidRPr="005F7C82">
              <w:rPr>
                <w:rFonts w:ascii="Times New Roman" w:hAnsi="Times New Roman" w:cs="Times New Roman"/>
                <w:spacing w:val="-4"/>
                <w:sz w:val="28"/>
                <w:szCs w:val="28"/>
              </w:rPr>
              <w:t>TTHC</w:t>
            </w:r>
            <w:r w:rsidRPr="005F7C82">
              <w:rPr>
                <w:rFonts w:ascii="Times New Roman" w:hAnsi="Times New Roman" w:cs="Times New Roman"/>
                <w:spacing w:val="-4"/>
                <w:sz w:val="28"/>
                <w:szCs w:val="28"/>
                <w:shd w:val="clear" w:color="auto" w:fill="FFFFFF"/>
              </w:rPr>
              <w:t xml:space="preserve">, </w:t>
            </w:r>
            <w:r w:rsidR="002338C0" w:rsidRPr="005F7C82">
              <w:rPr>
                <w:rFonts w:ascii="Times New Roman" w:hAnsi="Times New Roman" w:cs="Times New Roman"/>
                <w:spacing w:val="-4"/>
                <w:sz w:val="28"/>
                <w:szCs w:val="28"/>
              </w:rPr>
              <w:t>TTHC</w:t>
            </w:r>
            <w:r w:rsidRPr="005F7C82">
              <w:rPr>
                <w:rFonts w:ascii="Times New Roman" w:hAnsi="Times New Roman" w:cs="Times New Roman"/>
                <w:spacing w:val="-4"/>
                <w:sz w:val="28"/>
                <w:szCs w:val="28"/>
                <w:shd w:val="clear" w:color="auto" w:fill="FFFFFF"/>
              </w:rPr>
              <w:t xml:space="preserve"> nội bộ. Lý do: Đây là một trong những nhiệm vụ phải thực hiện trong cải cách </w:t>
            </w:r>
            <w:r w:rsidR="005F7C82" w:rsidRPr="005F7C82">
              <w:rPr>
                <w:rFonts w:ascii="Times New Roman" w:hAnsi="Times New Roman" w:cs="Times New Roman"/>
                <w:spacing w:val="-4"/>
                <w:sz w:val="28"/>
                <w:szCs w:val="28"/>
              </w:rPr>
              <w:t xml:space="preserve"> TTHC</w:t>
            </w:r>
            <w:r w:rsidRPr="005F7C82">
              <w:rPr>
                <w:rFonts w:ascii="Times New Roman" w:hAnsi="Times New Roman" w:cs="Times New Roman"/>
                <w:spacing w:val="-4"/>
                <w:sz w:val="28"/>
                <w:szCs w:val="28"/>
                <w:shd w:val="clear" w:color="auto" w:fill="FFFFFF"/>
              </w:rPr>
              <w:t xml:space="preserve">, nhằm đưa ra các phương án đơn giản hoá </w:t>
            </w:r>
            <w:r w:rsidR="002338C0" w:rsidRPr="005F7C82">
              <w:rPr>
                <w:rFonts w:ascii="Times New Roman" w:hAnsi="Times New Roman" w:cs="Times New Roman"/>
                <w:spacing w:val="-4"/>
                <w:sz w:val="28"/>
                <w:szCs w:val="28"/>
              </w:rPr>
              <w:t>TTHC</w:t>
            </w:r>
            <w:r w:rsidRPr="005F7C82">
              <w:rPr>
                <w:rFonts w:ascii="Times New Roman" w:hAnsi="Times New Roman" w:cs="Times New Roman"/>
                <w:spacing w:val="-4"/>
                <w:sz w:val="28"/>
                <w:szCs w:val="28"/>
                <w:shd w:val="clear" w:color="auto" w:fill="FFFFFF"/>
              </w:rPr>
              <w:t xml:space="preserve">, </w:t>
            </w:r>
            <w:r w:rsidR="002338C0" w:rsidRPr="005F7C82">
              <w:rPr>
                <w:rFonts w:ascii="Times New Roman" w:hAnsi="Times New Roman" w:cs="Times New Roman"/>
                <w:spacing w:val="-4"/>
                <w:sz w:val="28"/>
                <w:szCs w:val="28"/>
              </w:rPr>
              <w:t>TTHC</w:t>
            </w:r>
            <w:r w:rsidR="002338C0" w:rsidRPr="005F7C82">
              <w:rPr>
                <w:rFonts w:ascii="Times New Roman" w:hAnsi="Times New Roman" w:cs="Times New Roman"/>
                <w:spacing w:val="-4"/>
                <w:sz w:val="28"/>
                <w:szCs w:val="28"/>
                <w:shd w:val="clear" w:color="auto" w:fill="FFFFFF"/>
              </w:rPr>
              <w:t xml:space="preserve"> </w:t>
            </w:r>
            <w:r w:rsidRPr="005F7C82">
              <w:rPr>
                <w:rFonts w:ascii="Times New Roman" w:hAnsi="Times New Roman" w:cs="Times New Roman"/>
                <w:spacing w:val="-4"/>
                <w:sz w:val="28"/>
                <w:szCs w:val="28"/>
                <w:shd w:val="clear" w:color="auto" w:fill="FFFFFF"/>
              </w:rPr>
              <w:t>nội bộ;</w:t>
            </w:r>
          </w:p>
          <w:p w:rsidR="00381CA4" w:rsidRPr="00C0748E" w:rsidRDefault="00605CB9" w:rsidP="00DA3152">
            <w:pPr>
              <w:spacing w:before="40" w:after="40" w:line="240" w:lineRule="auto"/>
              <w:jc w:val="both"/>
              <w:rPr>
                <w:rFonts w:ascii="Times New Roman" w:hAnsi="Times New Roman" w:cs="Times New Roman"/>
                <w:spacing w:val="-2"/>
                <w:sz w:val="28"/>
                <w:szCs w:val="28"/>
                <w:shd w:val="clear" w:color="auto" w:fill="FFFFFF"/>
              </w:rPr>
            </w:pPr>
            <w:r w:rsidRPr="00C0748E">
              <w:rPr>
                <w:rFonts w:ascii="Times New Roman" w:hAnsi="Times New Roman" w:cs="Times New Roman"/>
                <w:spacing w:val="-2"/>
                <w:sz w:val="28"/>
                <w:szCs w:val="28"/>
                <w:shd w:val="clear" w:color="auto" w:fill="FFFFFF"/>
              </w:rPr>
              <w:t>- Bỏ tiêu chí Số TTHC hoặc nhóm TTHC được giải quyết theo hình thức liên thông cùng cấp (mục 3.3.3), Số TTHC hoặc nhóm TTHC được giải quyết theo hình thức liên thông giữa các cấp chính quyền (mục 3.3.4). Lý do: Không còn phù hợp vì Văn phòng Chính phủ thông qua Cổng Dịch vụ công quốc gia có thể kiểm soát được TTHC của các tỉnh, thành phố trực thuộc trung ương (hiện nay, hệ thống thông tin giải quyết TTHC tỉnh đã kết nối, đồng bộ với Cổng Dịch vụ công quốc gia và việc các tỉnh, thành phố trực thuộc trung ương áp dụng TTHC nào vào giải quyết TTHC đều phải được địa phương hoá từ một bộ TTHC chung do Bộ, Ngành chủ quản công bố).</w:t>
            </w:r>
          </w:p>
          <w:p w:rsidR="00605CB9" w:rsidRPr="00C0748E" w:rsidRDefault="00605CB9" w:rsidP="00DA3152">
            <w:pPr>
              <w:spacing w:before="40" w:after="40" w:line="240" w:lineRule="auto"/>
              <w:jc w:val="both"/>
              <w:rPr>
                <w:rFonts w:ascii="Times New Roman" w:hAnsi="Times New Roman" w:cs="Times New Roman"/>
                <w:spacing w:val="-2"/>
                <w:sz w:val="28"/>
                <w:szCs w:val="28"/>
                <w:shd w:val="clear" w:color="auto" w:fill="FFFFFF"/>
              </w:rPr>
            </w:pPr>
            <w:r w:rsidRPr="00C0748E">
              <w:rPr>
                <w:rFonts w:ascii="Times New Roman" w:hAnsi="Times New Roman" w:cs="Times New Roman"/>
                <w:spacing w:val="-2"/>
                <w:sz w:val="28"/>
                <w:szCs w:val="28"/>
                <w:shd w:val="clear" w:color="auto" w:fill="FFFFFF"/>
              </w:rPr>
              <w:t xml:space="preserve"> - Làm rõ tiêu chí Đánh giá chất lượng giải quyết TTHC của địa phương (mục 3.4.5). Lý do: Hiện nay, việc đánh giá chất lượng giải quyết TTHC của các đơn vị, địa phương đã được thực hiện theo Bộ chỉ số chỉ đạo, điều hành và đánh giá chất lượng phục vụ người dân, doanh nghiệp trong thực hiện</w:t>
            </w:r>
            <w:r w:rsidR="002338C0" w:rsidRPr="00C0748E">
              <w:rPr>
                <w:rFonts w:ascii="Times New Roman" w:hAnsi="Times New Roman" w:cs="Times New Roman"/>
                <w:spacing w:val="-2"/>
                <w:sz w:val="28"/>
                <w:szCs w:val="28"/>
              </w:rPr>
              <w:t xml:space="preserve"> TTHC</w:t>
            </w:r>
            <w:r w:rsidRPr="00C0748E">
              <w:rPr>
                <w:rFonts w:ascii="Times New Roman" w:hAnsi="Times New Roman" w:cs="Times New Roman"/>
                <w:spacing w:val="-2"/>
                <w:sz w:val="28"/>
                <w:szCs w:val="28"/>
                <w:shd w:val="clear" w:color="auto" w:fill="FFFFFF"/>
              </w:rPr>
              <w:t>, dịch vụ công theo thời gian thực trên môi trường điện tử, do đó chỉ cần đánh giá các đơn vị, địa phương theo kết quả phân loại trên Cổng Dịch vụ công quốc gia. Bên cạnh đó, Thông tư số 21/2023/TT-BTTTT ngày 31/12/2023 của Bộ trưởng Bộ Thông tin và Truyền thông quy định về chức năng, tính năng kỹ thuật của Hệ thống thông tin giải quyết</w:t>
            </w:r>
            <w:r w:rsidR="00C0748E" w:rsidRPr="00C0748E">
              <w:rPr>
                <w:rFonts w:ascii="Times New Roman" w:hAnsi="Times New Roman" w:cs="Times New Roman"/>
                <w:spacing w:val="-2"/>
                <w:sz w:val="28"/>
                <w:szCs w:val="28"/>
              </w:rPr>
              <w:t xml:space="preserve"> TTHC</w:t>
            </w:r>
            <w:r w:rsidR="00C0748E" w:rsidRPr="00C0748E">
              <w:rPr>
                <w:rFonts w:ascii="Times New Roman" w:hAnsi="Times New Roman" w:cs="Times New Roman"/>
                <w:spacing w:val="-2"/>
                <w:sz w:val="28"/>
                <w:szCs w:val="28"/>
                <w:shd w:val="clear" w:color="auto" w:fill="FFFFFF"/>
              </w:rPr>
              <w:t xml:space="preserve"> </w:t>
            </w:r>
            <w:r w:rsidRPr="00C0748E">
              <w:rPr>
                <w:rFonts w:ascii="Times New Roman" w:hAnsi="Times New Roman" w:cs="Times New Roman"/>
                <w:spacing w:val="-2"/>
                <w:sz w:val="28"/>
                <w:szCs w:val="28"/>
                <w:shd w:val="clear" w:color="auto" w:fill="FFFFFF"/>
              </w:rPr>
              <w:t>cấp bộ, cấp tỉnh có quy định về chức năng đánh giá sự hài lòng của người dùng, do đó đề nghị đưa tiêu chí đánh giá bằng hệ thống này vào thành tiêu chí chấm điểm cải cách hành chính (đánh giá theo dữ liệu của thời gian thực sẽ chính xác, nhanh chóng hơn), tuy nhiên cần chi tiết việc đánh giá sự hài lòng theo các tiêu chí cụ thể của SIPAS và cân nhắc sự cần thiết tiêu chí Kết quả chỉ số hài lòng (SIPAS) (mục 8.1).</w:t>
            </w:r>
          </w:p>
        </w:tc>
      </w:tr>
      <w:tr w:rsidR="00DA3152" w:rsidRPr="00DA3152" w:rsidTr="00DA3152">
        <w:tc>
          <w:tcPr>
            <w:tcW w:w="846" w:type="dxa"/>
            <w:vAlign w:val="center"/>
          </w:tcPr>
          <w:p w:rsidR="00605CB9" w:rsidRPr="00DA3152" w:rsidRDefault="00605CB9"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605CB9" w:rsidRPr="00DA3152" w:rsidRDefault="000C3AC6"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Tiền Giang</w:t>
            </w:r>
          </w:p>
        </w:tc>
        <w:tc>
          <w:tcPr>
            <w:tcW w:w="7796" w:type="dxa"/>
            <w:vAlign w:val="center"/>
          </w:tcPr>
          <w:p w:rsidR="00605CB9" w:rsidRPr="00DA3152" w:rsidRDefault="000C3AC6" w:rsidP="00C0748E">
            <w:pPr>
              <w:spacing w:before="40" w:after="40" w:line="240" w:lineRule="auto"/>
              <w:jc w:val="both"/>
              <w:rPr>
                <w:rFonts w:ascii="Times New Roman" w:hAnsi="Times New Roman" w:cs="Times New Roman"/>
                <w:sz w:val="28"/>
                <w:szCs w:val="28"/>
                <w:shd w:val="clear" w:color="auto" w:fill="FFFFFF"/>
              </w:rPr>
            </w:pPr>
            <w:r w:rsidRPr="00473D59">
              <w:rPr>
                <w:rFonts w:ascii="Times New Roman" w:hAnsi="Times New Roman" w:cs="Times New Roman"/>
                <w:bCs/>
                <w:iCs/>
                <w:sz w:val="28"/>
                <w:szCs w:val="28"/>
              </w:rPr>
              <w:t>Đề nghị Bộ Nội vụ</w:t>
            </w:r>
            <w:r w:rsidRPr="00DA3152">
              <w:rPr>
                <w:rFonts w:ascii="Times New Roman" w:hAnsi="Times New Roman" w:cs="Times New Roman"/>
                <w:sz w:val="28"/>
                <w:szCs w:val="28"/>
              </w:rPr>
              <w:t xml:space="preserve"> rà soát lại </w:t>
            </w:r>
            <w:r w:rsidR="00C0748E">
              <w:rPr>
                <w:rFonts w:ascii="Times New Roman" w:hAnsi="Times New Roman" w:cs="Times New Roman"/>
                <w:sz w:val="28"/>
                <w:szCs w:val="28"/>
              </w:rPr>
              <w:t>TTHC</w:t>
            </w:r>
            <w:r w:rsidR="00C0748E" w:rsidRPr="00DA3152">
              <w:rPr>
                <w:rFonts w:ascii="Times New Roman" w:hAnsi="Times New Roman" w:cs="Times New Roman"/>
                <w:sz w:val="28"/>
                <w:szCs w:val="28"/>
              </w:rPr>
              <w:t xml:space="preserve"> </w:t>
            </w:r>
            <w:r w:rsidRPr="00DA3152">
              <w:rPr>
                <w:rFonts w:ascii="Times New Roman" w:hAnsi="Times New Roman" w:cs="Times New Roman"/>
                <w:sz w:val="28"/>
                <w:szCs w:val="28"/>
              </w:rPr>
              <w:t>thuộc thẩm quyền giải quyết cấp huyện “Đổi tên quỹ - 1.005203” bị bãi bỏ tại Quyết định số 1109/QĐ-BNV ngày 21/12/2020 của Bộ trưởng Bộ Nội vụ nhưng đến nay vẫn còn công khai trên Cổng dịch vụ công quốc gia.</w:t>
            </w:r>
          </w:p>
        </w:tc>
      </w:tr>
      <w:tr w:rsidR="00DA3152" w:rsidRPr="00DA3152" w:rsidTr="00DA3152">
        <w:tc>
          <w:tcPr>
            <w:tcW w:w="846" w:type="dxa"/>
            <w:vAlign w:val="center"/>
          </w:tcPr>
          <w:p w:rsidR="00E349D5" w:rsidRPr="00DA3152" w:rsidRDefault="00800FEA" w:rsidP="00DA3152">
            <w:pPr>
              <w:spacing w:before="40" w:after="40" w:line="240" w:lineRule="auto"/>
              <w:ind w:right="-102"/>
              <w:jc w:val="center"/>
              <w:rPr>
                <w:rFonts w:ascii="Times New Roman" w:hAnsi="Times New Roman" w:cs="Times New Roman"/>
                <w:b/>
                <w:sz w:val="28"/>
                <w:szCs w:val="28"/>
              </w:rPr>
            </w:pPr>
            <w:r w:rsidRPr="00DA3152">
              <w:rPr>
                <w:rFonts w:ascii="Times New Roman" w:hAnsi="Times New Roman" w:cs="Times New Roman"/>
                <w:b/>
                <w:sz w:val="28"/>
                <w:szCs w:val="28"/>
              </w:rPr>
              <w:t>V</w:t>
            </w:r>
            <w:r w:rsidR="008938FB" w:rsidRPr="00DA3152">
              <w:rPr>
                <w:rFonts w:ascii="Times New Roman" w:hAnsi="Times New Roman" w:cs="Times New Roman"/>
                <w:b/>
                <w:sz w:val="28"/>
                <w:szCs w:val="28"/>
              </w:rPr>
              <w:t>II</w:t>
            </w:r>
          </w:p>
        </w:tc>
        <w:tc>
          <w:tcPr>
            <w:tcW w:w="9786" w:type="dxa"/>
            <w:gridSpan w:val="2"/>
            <w:vAlign w:val="center"/>
          </w:tcPr>
          <w:p w:rsidR="00E349D5" w:rsidRPr="00DA3152" w:rsidRDefault="00E349D5" w:rsidP="00DA3152">
            <w:pPr>
              <w:spacing w:before="40" w:after="40" w:line="240" w:lineRule="auto"/>
              <w:jc w:val="both"/>
              <w:rPr>
                <w:rFonts w:ascii="Times New Roman" w:hAnsi="Times New Roman" w:cs="Times New Roman"/>
                <w:b/>
                <w:sz w:val="28"/>
                <w:szCs w:val="28"/>
                <w:shd w:val="clear" w:color="auto" w:fill="FFFFFF"/>
              </w:rPr>
            </w:pPr>
            <w:r w:rsidRPr="00DA3152">
              <w:rPr>
                <w:rFonts w:ascii="Times New Roman" w:hAnsi="Times New Roman" w:cs="Times New Roman"/>
                <w:b/>
                <w:spacing w:val="-6"/>
                <w:sz w:val="28"/>
                <w:szCs w:val="28"/>
              </w:rPr>
              <w:t>Kiến nghị, đề xuất với Bộ Nông nghiệp và Phát triển nông thôn</w:t>
            </w:r>
          </w:p>
        </w:tc>
      </w:tr>
      <w:tr w:rsidR="00DA3152" w:rsidRPr="00DA3152" w:rsidTr="00DA3152">
        <w:tc>
          <w:tcPr>
            <w:tcW w:w="846" w:type="dxa"/>
            <w:vAlign w:val="center"/>
          </w:tcPr>
          <w:p w:rsidR="001A784C" w:rsidRPr="00DA3152" w:rsidRDefault="001A784C"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1A784C" w:rsidRPr="00DA3152" w:rsidRDefault="001A784C"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Ninh Thuận</w:t>
            </w:r>
          </w:p>
        </w:tc>
        <w:tc>
          <w:tcPr>
            <w:tcW w:w="7796" w:type="dxa"/>
            <w:vAlign w:val="center"/>
          </w:tcPr>
          <w:p w:rsidR="001A784C" w:rsidRPr="00473D59" w:rsidRDefault="001A784C" w:rsidP="00DA3152">
            <w:pPr>
              <w:spacing w:before="40" w:after="40" w:line="240" w:lineRule="auto"/>
              <w:jc w:val="both"/>
              <w:rPr>
                <w:rFonts w:ascii="Times New Roman" w:hAnsi="Times New Roman" w:cs="Times New Roman"/>
                <w:spacing w:val="-4"/>
                <w:sz w:val="28"/>
                <w:szCs w:val="28"/>
                <w:shd w:val="clear" w:color="auto" w:fill="FFFFFF"/>
              </w:rPr>
            </w:pPr>
            <w:r w:rsidRPr="00473D59">
              <w:rPr>
                <w:rFonts w:ascii="Times New Roman" w:hAnsi="Times New Roman" w:cs="Times New Roman"/>
                <w:spacing w:val="-4"/>
                <w:sz w:val="28"/>
                <w:szCs w:val="28"/>
                <w:shd w:val="clear" w:color="auto" w:fill="FFFFFF"/>
              </w:rPr>
              <w:t xml:space="preserve">Theo quy định tại khoản 1 Điều 25 Luật Đê điều có 08 hoạt động liên quan đến đê điều phải được Ủy ban nhân dân cấp tỉnh cấp giấy phép; tại khoản 2 Điều 25 Luật Đê điều: “Việc cấp giấy phép cho những hoạt </w:t>
            </w:r>
            <w:r w:rsidRPr="00473D59">
              <w:rPr>
                <w:rFonts w:ascii="Times New Roman" w:hAnsi="Times New Roman" w:cs="Times New Roman"/>
                <w:spacing w:val="-4"/>
                <w:sz w:val="28"/>
                <w:szCs w:val="28"/>
                <w:shd w:val="clear" w:color="auto" w:fill="FFFFFF"/>
              </w:rPr>
              <w:lastRenderedPageBreak/>
              <w:t xml:space="preserve">động quy định tại khoản 1 Điều này phải căn cứ vào quy chuẩn kỹ thuật về đê điều, quy chuẩn kỹ thuật xây dựng do cơ quan quản lý nhà nước có thẩm quyền ban hành; việc cấp giấy phép cho những hoạt động quy định tại các điểm a, b và c khoản 1 Điều này đối với đê cấp đặc biệt, cấp I, cấp II, cấp III phải có ý kiến chấp thuận bằng văn bản của Bộ Nông nghiệp và Phát triển nông thôn”; tại điểm a khoản 3 Điều 25 Luật Đê điều quy định trách nhiệm của Ủy ban nhân dân cấp tỉnh: “Niêm yết công khai và hướng dẫn các quy định về việc cấp giấy phép”. Tại khoản 1 Điều 43 Luật Đê điều quy định trách nhiệm của Ủy ban nhân dân cấp tỉnh trong việc quản lý nhà nước về đê điều không giao Ủy ban nhân dân tỉnh quy định </w:t>
            </w:r>
            <w:r w:rsidR="009B0D3F">
              <w:rPr>
                <w:rFonts w:ascii="Times New Roman" w:hAnsi="Times New Roman" w:cs="Times New Roman"/>
                <w:sz w:val="28"/>
                <w:szCs w:val="28"/>
              </w:rPr>
              <w:t>TTHC</w:t>
            </w:r>
            <w:r w:rsidR="009B0D3F" w:rsidRPr="00473D59">
              <w:rPr>
                <w:rFonts w:ascii="Times New Roman" w:hAnsi="Times New Roman" w:cs="Times New Roman"/>
                <w:spacing w:val="-4"/>
                <w:sz w:val="28"/>
                <w:szCs w:val="28"/>
                <w:shd w:val="clear" w:color="auto" w:fill="FFFFFF"/>
              </w:rPr>
              <w:t xml:space="preserve"> </w:t>
            </w:r>
            <w:r w:rsidRPr="00473D59">
              <w:rPr>
                <w:rFonts w:ascii="Times New Roman" w:hAnsi="Times New Roman" w:cs="Times New Roman"/>
                <w:spacing w:val="-4"/>
                <w:sz w:val="28"/>
                <w:szCs w:val="28"/>
                <w:shd w:val="clear" w:color="auto" w:fill="FFFFFF"/>
              </w:rPr>
              <w:t>để thực hiện nội dung này. Theo quy định tại khoản 4 Điều 14 Luật Ban hành văn bản quy phạm pháp luật năm 2015 về những hành vi bị nghiêm cấm: “Quy định TTHC trong …, nghị quyết của Hội đồng nhân dân cấp tỉnh, quyết định của Ủy ban nhân dân cấp tỉnh, … trừ trường hợp được giao trong luật.”</w:t>
            </w:r>
          </w:p>
          <w:p w:rsidR="001A784C" w:rsidRPr="00473D59" w:rsidRDefault="001A784C" w:rsidP="00DA3152">
            <w:pPr>
              <w:spacing w:before="40" w:after="40" w:line="240" w:lineRule="auto"/>
              <w:jc w:val="both"/>
              <w:rPr>
                <w:rFonts w:ascii="Times New Roman" w:hAnsi="Times New Roman" w:cs="Times New Roman"/>
                <w:spacing w:val="-4"/>
                <w:sz w:val="28"/>
                <w:szCs w:val="28"/>
                <w:shd w:val="clear" w:color="auto" w:fill="FFFFFF"/>
              </w:rPr>
            </w:pPr>
            <w:r w:rsidRPr="00473D59">
              <w:rPr>
                <w:rFonts w:ascii="Times New Roman" w:hAnsi="Times New Roman" w:cs="Times New Roman"/>
                <w:spacing w:val="-4"/>
                <w:sz w:val="28"/>
                <w:szCs w:val="28"/>
                <w:shd w:val="clear" w:color="auto" w:fill="FFFFFF"/>
              </w:rPr>
              <w:t>- Việc hướng dẫn các quy định về cấp phép các hoạt động liên quan đến đê điều trên địa bàn tỉnh thuộc thẩm quyền của Ủy ban nhân dân cấp tỉnh không thực hiện được do vượt thẩm quyền. (Bộ Nông nghiệp và Phát triển nông thôn chưa công bố TTHC cấp phép các hoạt động liên quan đến đê điều. Ngày 07/6/2024, Ủy ban nhân dân tỉnh có Công văn số 2528/UBND-KTTH kiến nghị Bộ Nông nghiệp và Phát triển nông thôn công bố TTHC lĩnh vực đê điều trên.</w:t>
            </w:r>
          </w:p>
          <w:p w:rsidR="001A784C" w:rsidRPr="00473D59" w:rsidRDefault="001A784C" w:rsidP="00DA3152">
            <w:pPr>
              <w:spacing w:before="40" w:after="40" w:line="240" w:lineRule="auto"/>
              <w:jc w:val="both"/>
              <w:rPr>
                <w:rFonts w:ascii="Times New Roman" w:hAnsi="Times New Roman" w:cs="Times New Roman"/>
                <w:spacing w:val="-4"/>
                <w:sz w:val="28"/>
                <w:szCs w:val="28"/>
                <w:shd w:val="clear" w:color="auto" w:fill="FFFFFF"/>
              </w:rPr>
            </w:pPr>
            <w:r w:rsidRPr="00473D59">
              <w:rPr>
                <w:rFonts w:ascii="Times New Roman" w:hAnsi="Times New Roman" w:cs="Times New Roman"/>
                <w:spacing w:val="-4"/>
                <w:sz w:val="28"/>
                <w:szCs w:val="28"/>
                <w:shd w:val="clear" w:color="auto" w:fill="FFFFFF"/>
              </w:rPr>
              <w:t>- Ngày 01/7/2024, Bộ Nông nghiệp và Phát triển nông thôn có Công văn số 4643/BNN-ĐĐ trả lời: “Thông tư số 04/2021/TT-BNNPTNT ngày 28/6/2021 của Bộ Nông nghiệp và Phát triển nông thôn hướng dẫn việc chấp thuận, thẩm định các hoạt động liên quan đến đê điều theo quy định của Luật Đê điều quy định các nội dung thực hiện để giải quyết công việc giữa Bộ Nông nghiệp và Phát triển nông thôn và Ủy ban nhân dân tỉnh, không phải TTHC là không đúng với nội dung kiến nghị của tỉnh cần Bộ xem xét, tháo gỡ khó khăn cho tỉnh.</w:t>
            </w:r>
          </w:p>
          <w:p w:rsidR="001A784C" w:rsidRPr="00473D59" w:rsidRDefault="001A784C" w:rsidP="00DA3152">
            <w:pPr>
              <w:spacing w:before="40" w:after="40" w:line="240" w:lineRule="auto"/>
              <w:jc w:val="both"/>
              <w:rPr>
                <w:rFonts w:ascii="Times New Roman" w:hAnsi="Times New Roman" w:cs="Times New Roman"/>
                <w:spacing w:val="-4"/>
                <w:sz w:val="28"/>
                <w:szCs w:val="28"/>
                <w:shd w:val="clear" w:color="auto" w:fill="FFFFFF"/>
              </w:rPr>
            </w:pPr>
            <w:r w:rsidRPr="00473D59">
              <w:rPr>
                <w:rFonts w:ascii="Times New Roman" w:hAnsi="Times New Roman" w:cs="Times New Roman"/>
                <w:spacing w:val="-4"/>
                <w:sz w:val="28"/>
                <w:szCs w:val="28"/>
                <w:shd w:val="clear" w:color="auto" w:fill="FFFFFF"/>
              </w:rPr>
              <w:t>- Do vậy, kiến nghị Bộ Nông nghiệp và Phát triển nông thôn xem xét, sớm công bố TTHC cấp phép các hoạt động liên quan đến lĩnh vực đê điều để các địa phương trên toàn quốc có cơ sở triển khai thực hiện đồng bộ, đảm bảo chặt chẽ, đúng quy định pháp luật hiện hành.</w:t>
            </w:r>
          </w:p>
        </w:tc>
      </w:tr>
      <w:tr w:rsidR="00DA3152" w:rsidRPr="00DA3152" w:rsidTr="00DA3152">
        <w:tc>
          <w:tcPr>
            <w:tcW w:w="846" w:type="dxa"/>
            <w:vAlign w:val="center"/>
          </w:tcPr>
          <w:p w:rsidR="00625654" w:rsidRPr="00DA3152" w:rsidRDefault="00625654" w:rsidP="00DA3152">
            <w:pPr>
              <w:spacing w:before="40" w:after="40" w:line="240" w:lineRule="auto"/>
              <w:ind w:left="-108" w:right="-102" w:hanging="3"/>
              <w:jc w:val="center"/>
              <w:rPr>
                <w:rFonts w:ascii="Times New Roman" w:hAnsi="Times New Roman" w:cs="Times New Roman"/>
                <w:b/>
                <w:sz w:val="28"/>
                <w:szCs w:val="28"/>
              </w:rPr>
            </w:pPr>
            <w:r w:rsidRPr="00DA3152">
              <w:rPr>
                <w:rFonts w:ascii="Times New Roman" w:hAnsi="Times New Roman" w:cs="Times New Roman"/>
                <w:b/>
                <w:sz w:val="28"/>
                <w:szCs w:val="28"/>
              </w:rPr>
              <w:lastRenderedPageBreak/>
              <w:t>VI</w:t>
            </w:r>
            <w:r w:rsidR="008938FB" w:rsidRPr="00DA3152">
              <w:rPr>
                <w:rFonts w:ascii="Times New Roman" w:hAnsi="Times New Roman" w:cs="Times New Roman"/>
                <w:b/>
                <w:sz w:val="28"/>
                <w:szCs w:val="28"/>
              </w:rPr>
              <w:t>II</w:t>
            </w:r>
          </w:p>
        </w:tc>
        <w:tc>
          <w:tcPr>
            <w:tcW w:w="9786" w:type="dxa"/>
            <w:gridSpan w:val="2"/>
            <w:vAlign w:val="center"/>
          </w:tcPr>
          <w:p w:rsidR="00625654" w:rsidRPr="00DA3152" w:rsidRDefault="00625654" w:rsidP="00DA3152">
            <w:pPr>
              <w:spacing w:before="40" w:after="40" w:line="240" w:lineRule="auto"/>
              <w:jc w:val="both"/>
              <w:rPr>
                <w:rFonts w:ascii="Times New Roman" w:hAnsi="Times New Roman" w:cs="Times New Roman"/>
                <w:spacing w:val="4"/>
                <w:sz w:val="28"/>
                <w:szCs w:val="28"/>
              </w:rPr>
            </w:pPr>
            <w:r w:rsidRPr="00DA3152">
              <w:rPr>
                <w:rFonts w:ascii="Times New Roman" w:hAnsi="Times New Roman" w:cs="Times New Roman"/>
                <w:b/>
                <w:sz w:val="28"/>
                <w:szCs w:val="28"/>
                <w:shd w:val="clear" w:color="auto" w:fill="FFFFFF"/>
              </w:rPr>
              <w:t>Kiến nghị, đề xuất với Bộ Tài chính</w:t>
            </w:r>
          </w:p>
        </w:tc>
      </w:tr>
      <w:tr w:rsidR="00DA3152" w:rsidRPr="00DA3152" w:rsidTr="00DA3152">
        <w:tc>
          <w:tcPr>
            <w:tcW w:w="846" w:type="dxa"/>
            <w:vAlign w:val="center"/>
          </w:tcPr>
          <w:p w:rsidR="00B36D86" w:rsidRPr="00DA3152" w:rsidRDefault="00B36D86"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DD2F08" w:rsidRDefault="00ED18A3" w:rsidP="00DA3152">
            <w:pPr>
              <w:spacing w:before="40" w:after="40" w:line="240" w:lineRule="auto"/>
              <w:jc w:val="center"/>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 xml:space="preserve">UBND tỉnh </w:t>
            </w:r>
          </w:p>
          <w:p w:rsidR="00B36D86" w:rsidRPr="00DA3152" w:rsidRDefault="00ED18A3" w:rsidP="00DA3152">
            <w:pPr>
              <w:spacing w:before="40" w:after="40" w:line="240" w:lineRule="auto"/>
              <w:jc w:val="center"/>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Hải Dương</w:t>
            </w:r>
          </w:p>
        </w:tc>
        <w:tc>
          <w:tcPr>
            <w:tcW w:w="7796" w:type="dxa"/>
            <w:vAlign w:val="center"/>
          </w:tcPr>
          <w:p w:rsidR="00B36D86" w:rsidRPr="00DA3152" w:rsidRDefault="00ED18A3" w:rsidP="00DA3152">
            <w:pPr>
              <w:spacing w:before="40" w:after="40" w:line="240" w:lineRule="auto"/>
              <w:jc w:val="both"/>
              <w:rPr>
                <w:rFonts w:ascii="Times New Roman" w:hAnsi="Times New Roman" w:cs="Times New Roman"/>
                <w:bCs/>
                <w:iCs/>
                <w:sz w:val="28"/>
                <w:szCs w:val="28"/>
              </w:rPr>
            </w:pPr>
            <w:r w:rsidRPr="00DA3152">
              <w:rPr>
                <w:rFonts w:ascii="Times New Roman" w:hAnsi="Times New Roman" w:cs="Times New Roman"/>
                <w:sz w:val="28"/>
                <w:szCs w:val="28"/>
                <w:shd w:val="clear" w:color="auto" w:fill="FFFFFF"/>
              </w:rPr>
              <w:t>Sớm công bố sửa đổi, bổ sung những TTHC liên quan đến phí, lệ phí theo quy định tại Thông tư số 43/2024/TT-BTC ngày 28 tháng 6 năm 2024 của Bộ Tài chính quy định mức thu một số khoản phí, lệ phí nhằm hỗ trợ người dân và doanh nghiệp để địa phương có cơ sở công bố TTHC.</w:t>
            </w:r>
          </w:p>
        </w:tc>
      </w:tr>
      <w:tr w:rsidR="00DA3152" w:rsidRPr="00DA3152" w:rsidTr="00DA3152">
        <w:tc>
          <w:tcPr>
            <w:tcW w:w="846" w:type="dxa"/>
            <w:vAlign w:val="center"/>
          </w:tcPr>
          <w:p w:rsidR="00B36D86" w:rsidRPr="00DA3152" w:rsidRDefault="00B36D86"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B36D86" w:rsidRPr="00DA3152" w:rsidRDefault="0082128D" w:rsidP="00DA3152">
            <w:pPr>
              <w:spacing w:before="40" w:after="40" w:line="240" w:lineRule="auto"/>
              <w:jc w:val="center"/>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UBND tỉnh Vĩnh Long</w:t>
            </w:r>
          </w:p>
        </w:tc>
        <w:tc>
          <w:tcPr>
            <w:tcW w:w="7796" w:type="dxa"/>
            <w:vAlign w:val="center"/>
          </w:tcPr>
          <w:p w:rsidR="00B36D86" w:rsidRPr="00DA3152" w:rsidRDefault="0082128D" w:rsidP="00DA3152">
            <w:pPr>
              <w:spacing w:before="40" w:after="40" w:line="240" w:lineRule="auto"/>
              <w:jc w:val="both"/>
              <w:rPr>
                <w:rFonts w:ascii="Times New Roman" w:hAnsi="Times New Roman" w:cs="Times New Roman"/>
                <w:bCs/>
                <w:iCs/>
                <w:sz w:val="28"/>
                <w:szCs w:val="28"/>
              </w:rPr>
            </w:pPr>
            <w:r w:rsidRPr="00473D59">
              <w:rPr>
                <w:rFonts w:ascii="Times New Roman" w:hAnsi="Times New Roman" w:cs="Times New Roman"/>
                <w:bCs/>
                <w:sz w:val="28"/>
                <w:szCs w:val="28"/>
              </w:rPr>
              <w:t>Kiến nghị Bộ Tài chính</w:t>
            </w:r>
            <w:r w:rsidRPr="00DA3152">
              <w:rPr>
                <w:rFonts w:ascii="Times New Roman" w:hAnsi="Times New Roman" w:cs="Times New Roman"/>
                <w:sz w:val="28"/>
                <w:szCs w:val="28"/>
              </w:rPr>
              <w:t xml:space="preserve"> đồng bộ hồ sơ trong lĩnh vực Tin học – Thống kê lên Cổng Dịch vụ công quốc gia để tính điểm Bộ chỉ số chỉ đạo, điều hành và đánh giá chất lượng phục vụ người dân, doanh </w:t>
            </w:r>
            <w:r w:rsidRPr="00DA3152">
              <w:rPr>
                <w:rFonts w:ascii="Times New Roman" w:hAnsi="Times New Roman" w:cs="Times New Roman"/>
                <w:sz w:val="28"/>
                <w:szCs w:val="28"/>
              </w:rPr>
              <w:lastRenderedPageBreak/>
              <w:t xml:space="preserve">nghiệp trong thực hiện </w:t>
            </w:r>
            <w:r w:rsidR="009B0D3F">
              <w:rPr>
                <w:rFonts w:ascii="Times New Roman" w:hAnsi="Times New Roman" w:cs="Times New Roman"/>
                <w:sz w:val="28"/>
                <w:szCs w:val="28"/>
              </w:rPr>
              <w:t xml:space="preserve"> TTHC</w:t>
            </w:r>
            <w:r w:rsidRPr="00DA3152">
              <w:rPr>
                <w:rFonts w:ascii="Times New Roman" w:hAnsi="Times New Roman" w:cs="Times New Roman"/>
                <w:sz w:val="28"/>
                <w:szCs w:val="28"/>
              </w:rPr>
              <w:t>, dịch vụ công theo thời gian thực trên môi trường điện tử theo Quyết định số 766/QĐ-TTg ngày 23/6/2022 của Thủ tướng Chính phủ.</w:t>
            </w:r>
          </w:p>
        </w:tc>
      </w:tr>
      <w:tr w:rsidR="00DA3152" w:rsidRPr="00DA3152" w:rsidTr="00DA3152">
        <w:tc>
          <w:tcPr>
            <w:tcW w:w="846" w:type="dxa"/>
            <w:vAlign w:val="center"/>
          </w:tcPr>
          <w:p w:rsidR="00625654" w:rsidRPr="00DA3152" w:rsidRDefault="008938FB" w:rsidP="00DA3152">
            <w:pPr>
              <w:spacing w:before="40" w:after="40" w:line="240" w:lineRule="auto"/>
              <w:ind w:left="-108" w:right="-102" w:hanging="3"/>
              <w:jc w:val="center"/>
              <w:rPr>
                <w:rFonts w:ascii="Times New Roman" w:hAnsi="Times New Roman" w:cs="Times New Roman"/>
                <w:b/>
                <w:sz w:val="28"/>
                <w:szCs w:val="28"/>
              </w:rPr>
            </w:pPr>
            <w:r w:rsidRPr="00DA3152">
              <w:rPr>
                <w:rFonts w:ascii="Times New Roman" w:hAnsi="Times New Roman" w:cs="Times New Roman"/>
                <w:b/>
                <w:sz w:val="28"/>
                <w:szCs w:val="28"/>
              </w:rPr>
              <w:lastRenderedPageBreak/>
              <w:t>IX</w:t>
            </w:r>
          </w:p>
        </w:tc>
        <w:tc>
          <w:tcPr>
            <w:tcW w:w="9786" w:type="dxa"/>
            <w:gridSpan w:val="2"/>
            <w:vAlign w:val="center"/>
          </w:tcPr>
          <w:p w:rsidR="00625654" w:rsidRPr="00DA3152" w:rsidRDefault="00625654" w:rsidP="00DA3152">
            <w:pPr>
              <w:pStyle w:val="ListParagraph"/>
              <w:tabs>
                <w:tab w:val="left" w:pos="313"/>
              </w:tabs>
              <w:spacing w:before="40" w:after="40" w:line="240" w:lineRule="auto"/>
              <w:ind w:left="0"/>
              <w:jc w:val="both"/>
              <w:rPr>
                <w:rFonts w:ascii="Times New Roman" w:hAnsi="Times New Roman" w:cs="Times New Roman"/>
                <w:sz w:val="28"/>
                <w:szCs w:val="28"/>
                <w:shd w:val="clear" w:color="auto" w:fill="FFFFFF"/>
              </w:rPr>
            </w:pPr>
            <w:r w:rsidRPr="00DA3152">
              <w:rPr>
                <w:rFonts w:ascii="Times New Roman" w:hAnsi="Times New Roman" w:cs="Times New Roman"/>
                <w:b/>
                <w:sz w:val="28"/>
                <w:szCs w:val="28"/>
              </w:rPr>
              <w:t>Kiến nghị, đề xuất với Bộ Tài nguyên và Môi trường</w:t>
            </w:r>
          </w:p>
        </w:tc>
      </w:tr>
      <w:tr w:rsidR="00DA3152" w:rsidRPr="00DA3152" w:rsidTr="00DA3152">
        <w:tc>
          <w:tcPr>
            <w:tcW w:w="846" w:type="dxa"/>
            <w:vAlign w:val="center"/>
          </w:tcPr>
          <w:p w:rsidR="002B3924" w:rsidRPr="00DA3152" w:rsidRDefault="002B3924"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2B3924" w:rsidRPr="00DA3152" w:rsidRDefault="002B3924"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Ngân hàng Nhà nước Việt Nam</w:t>
            </w:r>
          </w:p>
        </w:tc>
        <w:tc>
          <w:tcPr>
            <w:tcW w:w="7796" w:type="dxa"/>
            <w:vAlign w:val="center"/>
          </w:tcPr>
          <w:p w:rsidR="002B3924" w:rsidRPr="00473D59" w:rsidRDefault="002B3924" w:rsidP="00DA3152">
            <w:pPr>
              <w:spacing w:before="40" w:after="40" w:line="240" w:lineRule="auto"/>
              <w:jc w:val="both"/>
              <w:rPr>
                <w:rFonts w:ascii="Times New Roman" w:hAnsi="Times New Roman" w:cs="Times New Roman"/>
                <w:sz w:val="28"/>
                <w:szCs w:val="28"/>
                <w:shd w:val="clear" w:color="auto" w:fill="FFFFFF"/>
              </w:rPr>
            </w:pPr>
            <w:r w:rsidRPr="00473D59">
              <w:rPr>
                <w:rFonts w:ascii="Times New Roman" w:hAnsi="Times New Roman" w:cs="Times New Roman"/>
                <w:sz w:val="28"/>
                <w:szCs w:val="28"/>
              </w:rPr>
              <w:t xml:space="preserve">NHNN nhận được phản ánh của TCTD về việc việc mất nhiều thời gian để thực hiện TTHC đăng ký giao dịch bảo đảm là bất động sản, cụ thể cán bộ ngân hàng phải đến trực tiếp Sở tài nguyên môi trường/Văn Phòng đăng ký đất đai quận/huyện để lấy số, xếp hàng để làm thủ tục, trong khi tần suất giao dịch thủ tục này của tổ chức tín dụng là rất lớn. Thời gian thực hiện TTHC kéo dài làm tăng thời gian giải quyết thủ tục vay vốn cho doanh nghiệp, người dân. Do đó, NHNN đề xuất với Bộ Tư pháp, Bộ Tài nguyên môi trường có giải pháp số hóa, liên thông </w:t>
            </w:r>
            <w:r w:rsidR="009B0D3F">
              <w:rPr>
                <w:rFonts w:ascii="Times New Roman" w:hAnsi="Times New Roman" w:cs="Times New Roman"/>
                <w:sz w:val="28"/>
                <w:szCs w:val="28"/>
              </w:rPr>
              <w:t>TTHC</w:t>
            </w:r>
            <w:r w:rsidR="009B0D3F" w:rsidRPr="00473D59">
              <w:rPr>
                <w:rFonts w:ascii="Times New Roman" w:hAnsi="Times New Roman" w:cs="Times New Roman"/>
                <w:sz w:val="28"/>
                <w:szCs w:val="28"/>
              </w:rPr>
              <w:t xml:space="preserve"> </w:t>
            </w:r>
            <w:r w:rsidRPr="00473D59">
              <w:rPr>
                <w:rFonts w:ascii="Times New Roman" w:hAnsi="Times New Roman" w:cs="Times New Roman"/>
                <w:sz w:val="28"/>
                <w:szCs w:val="28"/>
              </w:rPr>
              <w:t>để giảm bớt thời gian thực hiện thủ tục, góp phần rút ngắn thời hạn giải quyết thủ tục vay vốn cho doanh nghiệp và người dân.</w:t>
            </w:r>
          </w:p>
        </w:tc>
      </w:tr>
      <w:tr w:rsidR="00DA3152" w:rsidRPr="00DA3152" w:rsidTr="00DA3152">
        <w:tc>
          <w:tcPr>
            <w:tcW w:w="846" w:type="dxa"/>
            <w:vAlign w:val="center"/>
          </w:tcPr>
          <w:p w:rsidR="002B3924" w:rsidRPr="00DA3152" w:rsidRDefault="002B3924"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2B3924" w:rsidRPr="00DA3152" w:rsidRDefault="0099519B"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r w:rsidR="009530A1">
              <w:rPr>
                <w:rFonts w:ascii="Times New Roman" w:hAnsi="Times New Roman" w:cs="Times New Roman"/>
                <w:spacing w:val="-6"/>
                <w:sz w:val="28"/>
                <w:szCs w:val="28"/>
              </w:rPr>
              <w:br/>
            </w:r>
            <w:r w:rsidRPr="00DA3152">
              <w:rPr>
                <w:rFonts w:ascii="Times New Roman" w:hAnsi="Times New Roman" w:cs="Times New Roman"/>
                <w:spacing w:val="-6"/>
                <w:sz w:val="28"/>
                <w:szCs w:val="28"/>
              </w:rPr>
              <w:t>Tây Ninh</w:t>
            </w:r>
          </w:p>
        </w:tc>
        <w:tc>
          <w:tcPr>
            <w:tcW w:w="7796" w:type="dxa"/>
            <w:vAlign w:val="center"/>
          </w:tcPr>
          <w:p w:rsidR="002B3924" w:rsidRPr="009B0D3F" w:rsidRDefault="0099519B" w:rsidP="00DA3152">
            <w:pPr>
              <w:spacing w:before="40" w:after="40" w:line="240" w:lineRule="auto"/>
              <w:jc w:val="both"/>
              <w:rPr>
                <w:rFonts w:ascii="Times New Roman" w:hAnsi="Times New Roman" w:cs="Times New Roman"/>
                <w:spacing w:val="-4"/>
                <w:sz w:val="28"/>
                <w:szCs w:val="28"/>
                <w:shd w:val="clear" w:color="auto" w:fill="FFFFFF"/>
              </w:rPr>
            </w:pPr>
            <w:r w:rsidRPr="009B0D3F">
              <w:rPr>
                <w:rFonts w:ascii="Times New Roman" w:hAnsi="Times New Roman" w:cs="Times New Roman"/>
                <w:bCs/>
                <w:spacing w:val="-4"/>
                <w:sz w:val="28"/>
                <w:szCs w:val="28"/>
              </w:rPr>
              <w:t>Kiến nghị Bộ Tài nguyên và Môi trường</w:t>
            </w:r>
            <w:r w:rsidRPr="009B0D3F">
              <w:rPr>
                <w:rFonts w:ascii="Times New Roman" w:hAnsi="Times New Roman" w:cs="Times New Roman"/>
                <w:spacing w:val="-4"/>
                <w:sz w:val="28"/>
                <w:szCs w:val="28"/>
              </w:rPr>
              <w:t xml:space="preserve"> cập nhật đầy đủ các mã </w:t>
            </w:r>
            <w:r w:rsidR="009B0D3F" w:rsidRPr="009B0D3F">
              <w:rPr>
                <w:rFonts w:ascii="Times New Roman" w:hAnsi="Times New Roman" w:cs="Times New Roman"/>
                <w:spacing w:val="-4"/>
                <w:sz w:val="28"/>
                <w:szCs w:val="28"/>
              </w:rPr>
              <w:t xml:space="preserve"> TTHC </w:t>
            </w:r>
            <w:r w:rsidRPr="009B0D3F">
              <w:rPr>
                <w:rFonts w:ascii="Times New Roman" w:hAnsi="Times New Roman" w:cs="Times New Roman"/>
                <w:spacing w:val="-4"/>
                <w:sz w:val="28"/>
                <w:szCs w:val="28"/>
              </w:rPr>
              <w:t xml:space="preserve">lĩnh vực đất đai đã công bố, chuẩn hóa nội dung từng thủ tục cụ thể để giúp các địa phương kịp thời khai thác sử dụng và công bố danh mục và quy trình nội bộ giải quyết các </w:t>
            </w:r>
            <w:r w:rsidR="009B0D3F" w:rsidRPr="009B0D3F">
              <w:rPr>
                <w:rFonts w:ascii="Times New Roman" w:hAnsi="Times New Roman" w:cs="Times New Roman"/>
                <w:spacing w:val="-4"/>
                <w:sz w:val="28"/>
                <w:szCs w:val="28"/>
              </w:rPr>
              <w:t xml:space="preserve">TTHC </w:t>
            </w:r>
            <w:r w:rsidRPr="009B0D3F">
              <w:rPr>
                <w:rFonts w:ascii="Times New Roman" w:hAnsi="Times New Roman" w:cs="Times New Roman"/>
                <w:spacing w:val="-4"/>
                <w:sz w:val="28"/>
                <w:szCs w:val="28"/>
              </w:rPr>
              <w:t>này tại địa phương.</w:t>
            </w:r>
          </w:p>
        </w:tc>
      </w:tr>
      <w:tr w:rsidR="00DA3152" w:rsidRPr="00DA3152" w:rsidTr="00DA3152">
        <w:trPr>
          <w:trHeight w:val="402"/>
        </w:trPr>
        <w:tc>
          <w:tcPr>
            <w:tcW w:w="846" w:type="dxa"/>
            <w:vAlign w:val="center"/>
          </w:tcPr>
          <w:p w:rsidR="00C858D0" w:rsidRPr="00DA3152" w:rsidRDefault="00C858D0"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C858D0" w:rsidRPr="00DA3152" w:rsidRDefault="00C858D0"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Vĩnh Long</w:t>
            </w:r>
          </w:p>
        </w:tc>
        <w:tc>
          <w:tcPr>
            <w:tcW w:w="7796" w:type="dxa"/>
            <w:vAlign w:val="center"/>
          </w:tcPr>
          <w:p w:rsidR="00C858D0" w:rsidRPr="00473D59" w:rsidRDefault="00C858D0" w:rsidP="00DA3152">
            <w:pPr>
              <w:spacing w:before="40" w:after="40" w:line="240" w:lineRule="auto"/>
              <w:jc w:val="both"/>
              <w:rPr>
                <w:rFonts w:ascii="Times New Roman" w:hAnsi="Times New Roman" w:cs="Times New Roman"/>
                <w:bCs/>
                <w:spacing w:val="-4"/>
                <w:sz w:val="28"/>
                <w:szCs w:val="28"/>
              </w:rPr>
            </w:pPr>
            <w:r w:rsidRPr="00473D59">
              <w:rPr>
                <w:rFonts w:ascii="Times New Roman" w:hAnsi="Times New Roman" w:cs="Times New Roman"/>
                <w:bCs/>
                <w:spacing w:val="-4"/>
                <w:sz w:val="28"/>
                <w:szCs w:val="28"/>
              </w:rPr>
              <w:t>Kiến nghị Bộ Tài nguyên và Môi trường</w:t>
            </w:r>
            <w:r w:rsidRPr="00473D59">
              <w:rPr>
                <w:rFonts w:ascii="Times New Roman" w:hAnsi="Times New Roman" w:cs="Times New Roman"/>
                <w:spacing w:val="-4"/>
                <w:sz w:val="28"/>
                <w:szCs w:val="28"/>
              </w:rPr>
              <w:t xml:space="preserve"> xác định rõ thẩm quyền quyết định đối với nhóm thủ tục Cấp giấy phép môi trường, do theo Điều 41 Luật Tổ chức chính quyền địa phương là thẩm quyền chung (UBND tỉnh), nhưng mẫu kèm theo Quyết định công bố TTHC của Bộ Tài nguyên và Môi trường là thẩm quyền riêng (Chủ tịch UBND tỉnh).</w:t>
            </w:r>
          </w:p>
        </w:tc>
      </w:tr>
      <w:tr w:rsidR="00DA3152" w:rsidRPr="00DA3152" w:rsidTr="00DA3152">
        <w:tc>
          <w:tcPr>
            <w:tcW w:w="846" w:type="dxa"/>
            <w:vAlign w:val="center"/>
          </w:tcPr>
          <w:p w:rsidR="00625654" w:rsidRPr="00DA3152" w:rsidRDefault="008938FB" w:rsidP="00DA3152">
            <w:pPr>
              <w:spacing w:before="40" w:after="40" w:line="240" w:lineRule="auto"/>
              <w:ind w:right="-102"/>
              <w:jc w:val="center"/>
              <w:rPr>
                <w:rFonts w:ascii="Times New Roman" w:hAnsi="Times New Roman" w:cs="Times New Roman"/>
                <w:b/>
                <w:sz w:val="28"/>
                <w:szCs w:val="28"/>
              </w:rPr>
            </w:pPr>
            <w:r w:rsidRPr="00DA3152">
              <w:rPr>
                <w:rFonts w:ascii="Times New Roman" w:hAnsi="Times New Roman" w:cs="Times New Roman"/>
                <w:b/>
                <w:sz w:val="28"/>
                <w:szCs w:val="28"/>
              </w:rPr>
              <w:t>X</w:t>
            </w:r>
          </w:p>
        </w:tc>
        <w:tc>
          <w:tcPr>
            <w:tcW w:w="9786" w:type="dxa"/>
            <w:gridSpan w:val="2"/>
            <w:vAlign w:val="center"/>
          </w:tcPr>
          <w:p w:rsidR="00625654" w:rsidRPr="00DA3152" w:rsidRDefault="00625654" w:rsidP="00DA3152">
            <w:pPr>
              <w:tabs>
                <w:tab w:val="left" w:pos="313"/>
              </w:tabs>
              <w:spacing w:before="40" w:after="40" w:line="240" w:lineRule="auto"/>
              <w:jc w:val="both"/>
              <w:rPr>
                <w:rFonts w:ascii="Times New Roman" w:hAnsi="Times New Roman" w:cs="Times New Roman"/>
                <w:b/>
                <w:sz w:val="28"/>
                <w:szCs w:val="28"/>
                <w:shd w:val="clear" w:color="auto" w:fill="FFFFFF"/>
              </w:rPr>
            </w:pPr>
            <w:r w:rsidRPr="00DA3152">
              <w:rPr>
                <w:rFonts w:ascii="Times New Roman" w:hAnsi="Times New Roman" w:cs="Times New Roman"/>
                <w:b/>
                <w:spacing w:val="-6"/>
                <w:sz w:val="28"/>
                <w:szCs w:val="28"/>
              </w:rPr>
              <w:t>Kiến nghị, đề xuất với Bộ Tư pháp</w:t>
            </w:r>
          </w:p>
        </w:tc>
      </w:tr>
      <w:tr w:rsidR="00DD2F08" w:rsidRPr="00DA3152" w:rsidTr="00DA3152">
        <w:tc>
          <w:tcPr>
            <w:tcW w:w="846" w:type="dxa"/>
            <w:vAlign w:val="center"/>
          </w:tcPr>
          <w:p w:rsidR="00DD2F08" w:rsidRPr="00DA3152" w:rsidRDefault="00DD2F08" w:rsidP="00DD2F08">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DD2F08" w:rsidRPr="00DA3152" w:rsidRDefault="00DD2F08" w:rsidP="00DD2F08">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Ngân hàng Nhà nước Việt Nam</w:t>
            </w:r>
          </w:p>
        </w:tc>
        <w:tc>
          <w:tcPr>
            <w:tcW w:w="7796" w:type="dxa"/>
            <w:vAlign w:val="center"/>
          </w:tcPr>
          <w:p w:rsidR="00DD2F08" w:rsidRPr="00DA3152" w:rsidRDefault="00DD2F08" w:rsidP="00DD2F08">
            <w:pPr>
              <w:spacing w:before="40" w:after="40" w:line="240" w:lineRule="auto"/>
              <w:jc w:val="both"/>
              <w:rPr>
                <w:rFonts w:ascii="Times New Roman" w:hAnsi="Times New Roman" w:cs="Times New Roman"/>
                <w:sz w:val="28"/>
                <w:szCs w:val="28"/>
                <w:shd w:val="clear" w:color="auto" w:fill="FFFFFF"/>
              </w:rPr>
            </w:pPr>
            <w:r w:rsidRPr="00DA3152">
              <w:rPr>
                <w:rFonts w:ascii="Times New Roman" w:hAnsi="Times New Roman" w:cs="Times New Roman"/>
                <w:sz w:val="28"/>
                <w:szCs w:val="28"/>
              </w:rPr>
              <w:t>NHNN nhận được phản ánh của TCTD về việc việc mất nhiều thời gian để thực hiện TTHC đăng ký giao dịch bảo đảm là bất động sản, cụ thể cán bộ ngân hàng phải đến trực tiếp Sở tài nguyên môi trường/Văn Phòng đăng ký đất đai quận/huyện để lấy số, xếp hàng để làm thủ tục, trong khi tần suất giao dịch thủ tục này của tổ chức tín dụng là rất lớn. Thời gian thực hiện TTHC kéo dài làm tăng thời gian giải quyết thủ tục vay vốn cho doanh nghiệp, người dân. Do đó, NHNN đề xuất với Bộ Tư pháp, Bộ Tài nguyên môi trường có giải pháp số hóa, liên thông</w:t>
            </w:r>
            <w:r w:rsidR="009B0D3F">
              <w:rPr>
                <w:rFonts w:ascii="Times New Roman" w:hAnsi="Times New Roman" w:cs="Times New Roman"/>
                <w:sz w:val="28"/>
                <w:szCs w:val="28"/>
              </w:rPr>
              <w:t xml:space="preserve"> TTHC</w:t>
            </w:r>
            <w:r w:rsidR="009B0D3F" w:rsidRPr="00DA3152">
              <w:rPr>
                <w:rFonts w:ascii="Times New Roman" w:hAnsi="Times New Roman" w:cs="Times New Roman"/>
                <w:sz w:val="28"/>
                <w:szCs w:val="28"/>
              </w:rPr>
              <w:t xml:space="preserve"> </w:t>
            </w:r>
            <w:r w:rsidRPr="00DA3152">
              <w:rPr>
                <w:rFonts w:ascii="Times New Roman" w:hAnsi="Times New Roman" w:cs="Times New Roman"/>
                <w:sz w:val="28"/>
                <w:szCs w:val="28"/>
              </w:rPr>
              <w:t>để giảm bớt thời gian thực hiện thủ tục, góp phần rút ngắn thời hạn giải quyết thủ tục vay vốn cho doanh nghiệp và người dân.</w:t>
            </w:r>
          </w:p>
        </w:tc>
      </w:tr>
      <w:tr w:rsidR="00DA3152" w:rsidRPr="00DA3152" w:rsidTr="00DA3152">
        <w:tc>
          <w:tcPr>
            <w:tcW w:w="846" w:type="dxa"/>
            <w:vAlign w:val="center"/>
          </w:tcPr>
          <w:p w:rsidR="00A722DC" w:rsidRPr="00DA3152" w:rsidRDefault="00A722DC"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A722DC" w:rsidRPr="00DA3152" w:rsidRDefault="00A722DC" w:rsidP="00DA3152">
            <w:pPr>
              <w:spacing w:before="40" w:after="40" w:line="240" w:lineRule="auto"/>
              <w:jc w:val="center"/>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UBND tỉnh Bạc Liêu</w:t>
            </w:r>
          </w:p>
        </w:tc>
        <w:tc>
          <w:tcPr>
            <w:tcW w:w="7796" w:type="dxa"/>
            <w:vAlign w:val="center"/>
          </w:tcPr>
          <w:p w:rsidR="00E64B44" w:rsidRPr="00473D59" w:rsidRDefault="00A722DC" w:rsidP="00DA3152">
            <w:pPr>
              <w:spacing w:before="40" w:after="40" w:line="240" w:lineRule="auto"/>
              <w:jc w:val="both"/>
              <w:rPr>
                <w:rFonts w:ascii="Times New Roman" w:hAnsi="Times New Roman" w:cs="Times New Roman"/>
                <w:sz w:val="28"/>
                <w:szCs w:val="28"/>
              </w:rPr>
            </w:pPr>
            <w:r w:rsidRPr="00473D59">
              <w:rPr>
                <w:rFonts w:ascii="Times New Roman" w:hAnsi="Times New Roman" w:cs="Times New Roman"/>
                <w:sz w:val="28"/>
                <w:szCs w:val="28"/>
              </w:rPr>
              <w:t xml:space="preserve">Để hoàn thành nhiệm vụ phân cấp, ủy quyền trong giải quyết TTHC được Chính phủ, Thủ tướng Chính phủ giao; đồng thời, tổ chức thực hiện tốt Công văn số 1299/BTP-CN ngày 14/3/2024 của Bộ Tư pháp về việc triển khai thực thi phương án phân cấp giải quyết TTHC lĩnh vực nuôi con nuôi, theo Quyết định số 1015/QĐ-TTg của Thủ tướng </w:t>
            </w:r>
            <w:r w:rsidRPr="00473D59">
              <w:rPr>
                <w:rFonts w:ascii="Times New Roman" w:hAnsi="Times New Roman" w:cs="Times New Roman"/>
                <w:sz w:val="28"/>
                <w:szCs w:val="28"/>
              </w:rPr>
              <w:lastRenderedPageBreak/>
              <w:t xml:space="preserve">Chính phủ, đảm bảo đúng quy định pháp luật; </w:t>
            </w:r>
            <w:r w:rsidRPr="00473D59">
              <w:rPr>
                <w:rFonts w:ascii="Times New Roman" w:hAnsi="Times New Roman" w:cs="Times New Roman"/>
                <w:bCs/>
                <w:iCs/>
                <w:sz w:val="28"/>
                <w:szCs w:val="28"/>
              </w:rPr>
              <w:t xml:space="preserve">Ủy ban nhân dân tỉnh Bạc Liêu kính đề nghị Bộ Tư pháp </w:t>
            </w:r>
            <w:r w:rsidRPr="00473D59">
              <w:rPr>
                <w:rFonts w:ascii="Times New Roman" w:hAnsi="Times New Roman" w:cs="Times New Roman"/>
                <w:sz w:val="28"/>
                <w:szCs w:val="28"/>
              </w:rPr>
              <w:t>một số nội dung sau:</w:t>
            </w:r>
          </w:p>
          <w:p w:rsidR="00E64B44" w:rsidRPr="00473D59" w:rsidRDefault="00A722DC" w:rsidP="00DA3152">
            <w:pPr>
              <w:spacing w:before="40" w:after="40" w:line="240" w:lineRule="auto"/>
              <w:jc w:val="both"/>
              <w:rPr>
                <w:rFonts w:ascii="Times New Roman" w:hAnsi="Times New Roman" w:cs="Times New Roman"/>
                <w:sz w:val="28"/>
                <w:szCs w:val="28"/>
              </w:rPr>
            </w:pPr>
            <w:r w:rsidRPr="00473D59">
              <w:rPr>
                <w:rFonts w:ascii="Times New Roman" w:hAnsi="Times New Roman" w:cs="Times New Roman"/>
                <w:sz w:val="28"/>
                <w:szCs w:val="28"/>
              </w:rPr>
              <w:t xml:space="preserve"> - Xem xét, trình cấp có thẩm quyền sửa đổi, bổ sung Luật Nuôi con nuôi; Luật Hộ tịch; </w:t>
            </w:r>
          </w:p>
          <w:p w:rsidR="00A722DC" w:rsidRPr="00473D59" w:rsidRDefault="00A722DC" w:rsidP="00DA3152">
            <w:pPr>
              <w:spacing w:before="40" w:after="40" w:line="240" w:lineRule="auto"/>
              <w:jc w:val="both"/>
              <w:rPr>
                <w:rFonts w:ascii="Times New Roman" w:hAnsi="Times New Roman" w:cs="Times New Roman"/>
                <w:bCs/>
                <w:iCs/>
                <w:sz w:val="28"/>
                <w:szCs w:val="28"/>
              </w:rPr>
            </w:pPr>
            <w:r w:rsidRPr="00473D59">
              <w:rPr>
                <w:rFonts w:ascii="Times New Roman" w:hAnsi="Times New Roman" w:cs="Times New Roman"/>
                <w:sz w:val="28"/>
                <w:szCs w:val="28"/>
              </w:rPr>
              <w:t>- Ban hành văn bản sửa đổi, bổ sung các biểu mẫu về nuôi con nuôi được ban hành kèm theo Thông tư số 07/2023/TT-BTP ngày 29/9/2023 của Bộ trưởng Bộ Tư pháp về sửa đổi, bổ sung một số điều của Thông tư số 10/2020/TT-BTP ngày 28 tháng 12 năm 2020 của Bộ trưởng Bộ Tư pháp ban hành, hướng dẫn việc ghi chép, sử dụng, quản lý và lưu trữ Sổ, mẫu giấy tờ, hồ sơ nuôi con nuôi</w:t>
            </w:r>
          </w:p>
        </w:tc>
      </w:tr>
      <w:tr w:rsidR="00DA3152" w:rsidRPr="00DA3152" w:rsidTr="00DA3152">
        <w:tc>
          <w:tcPr>
            <w:tcW w:w="846" w:type="dxa"/>
            <w:vAlign w:val="center"/>
          </w:tcPr>
          <w:p w:rsidR="00A722DC" w:rsidRPr="00DA3152" w:rsidRDefault="00A722DC"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A722DC" w:rsidRPr="00DA3152" w:rsidRDefault="00194F51" w:rsidP="00DA3152">
            <w:pPr>
              <w:spacing w:before="40" w:after="40" w:line="240" w:lineRule="auto"/>
              <w:jc w:val="center"/>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UBND tỉnh Quảng Nam</w:t>
            </w:r>
          </w:p>
        </w:tc>
        <w:tc>
          <w:tcPr>
            <w:tcW w:w="7796" w:type="dxa"/>
            <w:vAlign w:val="center"/>
          </w:tcPr>
          <w:p w:rsidR="00A722DC" w:rsidRPr="00473D59" w:rsidRDefault="00194F51" w:rsidP="00DA3152">
            <w:pPr>
              <w:spacing w:before="40" w:after="40" w:line="240" w:lineRule="auto"/>
              <w:jc w:val="both"/>
              <w:rPr>
                <w:rFonts w:ascii="Times New Roman" w:hAnsi="Times New Roman" w:cs="Times New Roman"/>
                <w:bCs/>
                <w:iCs/>
                <w:spacing w:val="-2"/>
                <w:sz w:val="28"/>
                <w:szCs w:val="28"/>
              </w:rPr>
            </w:pPr>
            <w:r w:rsidRPr="00473D59">
              <w:rPr>
                <w:rFonts w:ascii="Times New Roman" w:hAnsi="Times New Roman" w:cs="Times New Roman"/>
                <w:bCs/>
                <w:spacing w:val="-2"/>
                <w:sz w:val="28"/>
                <w:szCs w:val="28"/>
              </w:rPr>
              <w:t>Kiến nghị Bộ Tư pháp</w:t>
            </w:r>
            <w:r w:rsidRPr="00473D59">
              <w:rPr>
                <w:rFonts w:ascii="Times New Roman" w:hAnsi="Times New Roman" w:cs="Times New Roman"/>
                <w:spacing w:val="-2"/>
                <w:sz w:val="28"/>
                <w:szCs w:val="28"/>
              </w:rPr>
              <w:t xml:space="preserve"> khắc phục những hạn chế về lỗi kết nối đến Hệ thống thông tin đăng ký và quản lý hộ tịch, không để xảy ra trình trạng chậm đồng bộ kết quả giải quyết từ Phần mềm Đăng ký và quản lý hộ tịch điện tử dùng chung với Hệ thống thông tin giải quyết </w:t>
            </w:r>
            <w:r w:rsidR="009B0D3F">
              <w:rPr>
                <w:rFonts w:ascii="Times New Roman" w:hAnsi="Times New Roman" w:cs="Times New Roman"/>
                <w:sz w:val="28"/>
                <w:szCs w:val="28"/>
              </w:rPr>
              <w:t xml:space="preserve"> TTHC</w:t>
            </w:r>
            <w:r w:rsidR="009B0D3F" w:rsidRPr="00473D59">
              <w:rPr>
                <w:rFonts w:ascii="Times New Roman" w:hAnsi="Times New Roman" w:cs="Times New Roman"/>
                <w:spacing w:val="-2"/>
                <w:sz w:val="28"/>
                <w:szCs w:val="28"/>
              </w:rPr>
              <w:t xml:space="preserve"> </w:t>
            </w:r>
            <w:r w:rsidRPr="00473D59">
              <w:rPr>
                <w:rFonts w:ascii="Times New Roman" w:hAnsi="Times New Roman" w:cs="Times New Roman"/>
                <w:spacing w:val="-2"/>
                <w:sz w:val="28"/>
                <w:szCs w:val="28"/>
              </w:rPr>
              <w:t>của tỉnh ảnh hưởng đến thời gian trả kết quả giải quyết.</w:t>
            </w:r>
          </w:p>
        </w:tc>
      </w:tr>
      <w:tr w:rsidR="00DA3152" w:rsidRPr="00DA3152" w:rsidTr="00DA3152">
        <w:tc>
          <w:tcPr>
            <w:tcW w:w="846" w:type="dxa"/>
            <w:vAlign w:val="center"/>
          </w:tcPr>
          <w:p w:rsidR="00FB393A" w:rsidRPr="00DA3152" w:rsidRDefault="00FB393A"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FB393A" w:rsidRPr="00DA3152" w:rsidRDefault="00FB393A" w:rsidP="00DA3152">
            <w:pPr>
              <w:spacing w:before="40" w:after="40" w:line="240" w:lineRule="auto"/>
              <w:jc w:val="center"/>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UBND tỉnh Sóc Trăng</w:t>
            </w:r>
          </w:p>
        </w:tc>
        <w:tc>
          <w:tcPr>
            <w:tcW w:w="7796" w:type="dxa"/>
            <w:vAlign w:val="center"/>
          </w:tcPr>
          <w:p w:rsidR="00FB393A" w:rsidRPr="00DA3152" w:rsidRDefault="000E6CE5" w:rsidP="00DA3152">
            <w:pPr>
              <w:spacing w:before="40" w:after="40" w:line="240" w:lineRule="auto"/>
              <w:jc w:val="both"/>
              <w:rPr>
                <w:rFonts w:ascii="Times New Roman" w:hAnsi="Times New Roman" w:cs="Times New Roman"/>
                <w:b/>
                <w:bCs/>
                <w:sz w:val="28"/>
                <w:szCs w:val="28"/>
              </w:rPr>
            </w:pPr>
            <w:r w:rsidRPr="00DA3152">
              <w:rPr>
                <w:rFonts w:ascii="Times New Roman" w:hAnsi="Times New Roman" w:cs="Times New Roman"/>
                <w:sz w:val="28"/>
                <w:szCs w:val="28"/>
                <w:shd w:val="clear" w:color="auto" w:fill="FFFFFF"/>
              </w:rPr>
              <w:t>Trong quá trình thực hiện 02 nhóm TTHC liên thông điện tử theo quy định tại Nghị định số 63/2024/NĐ-CP ngày 10/6/2024 của Chính phủ, tỉnh còn gặp một số khó khăn như sau: đối với Phần mềm đăng ký, quản lý hộ tịch điện tử dùng chung thì thường xuyên bị gián đoạn không phản hồi trạng thái kịp thời về Hệ thống thông tin giải quyết TTHC tỉnh. Do đó, tỉnh kính đề nghị Bộ Tư pháp tiếp tục quan tâm, nâng cấp các hệ thống để đảm bảo quá trình đăng nhập qua tài khoản VNeID và thực hiện nộp hồ sơ TTHC trực tuyến được thông suốt, thuận tiện, nhanh chóng.</w:t>
            </w:r>
          </w:p>
        </w:tc>
      </w:tr>
      <w:tr w:rsidR="00DA3152" w:rsidRPr="00DA3152" w:rsidTr="00DA3152">
        <w:tc>
          <w:tcPr>
            <w:tcW w:w="846" w:type="dxa"/>
            <w:vAlign w:val="center"/>
          </w:tcPr>
          <w:p w:rsidR="005C08D1" w:rsidRPr="00DA3152" w:rsidRDefault="005C08D1"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5C08D1" w:rsidRPr="00DA3152" w:rsidRDefault="005C08D1"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r w:rsidRPr="00DA3152">
              <w:rPr>
                <w:rFonts w:ascii="Times New Roman" w:hAnsi="Times New Roman" w:cs="Times New Roman"/>
                <w:spacing w:val="-6"/>
                <w:sz w:val="28"/>
                <w:szCs w:val="28"/>
              </w:rPr>
              <w:br/>
              <w:t>Hải Dương</w:t>
            </w:r>
          </w:p>
        </w:tc>
        <w:tc>
          <w:tcPr>
            <w:tcW w:w="7796" w:type="dxa"/>
            <w:vAlign w:val="center"/>
          </w:tcPr>
          <w:p w:rsidR="005C08D1" w:rsidRPr="00DA3152" w:rsidRDefault="005C08D1" w:rsidP="00DA3152">
            <w:pPr>
              <w:spacing w:before="40" w:after="40" w:line="240" w:lineRule="auto"/>
              <w:jc w:val="both"/>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Đề nghị Bộ bãi bỏ 02 nhóm</w:t>
            </w:r>
            <w:r w:rsidR="009B0D3F">
              <w:rPr>
                <w:rFonts w:ascii="Times New Roman" w:hAnsi="Times New Roman" w:cs="Times New Roman"/>
                <w:sz w:val="28"/>
                <w:szCs w:val="28"/>
              </w:rPr>
              <w:t xml:space="preserve"> TTHC</w:t>
            </w:r>
            <w:r w:rsidR="009B0D3F" w:rsidRPr="00DA3152">
              <w:rPr>
                <w:rFonts w:ascii="Times New Roman" w:hAnsi="Times New Roman" w:cs="Times New Roman"/>
                <w:sz w:val="28"/>
                <w:szCs w:val="28"/>
                <w:shd w:val="clear" w:color="auto" w:fill="FFFFFF"/>
              </w:rPr>
              <w:t xml:space="preserve"> </w:t>
            </w:r>
            <w:r w:rsidRPr="00DA3152">
              <w:rPr>
                <w:rFonts w:ascii="Times New Roman" w:hAnsi="Times New Roman" w:cs="Times New Roman"/>
                <w:sz w:val="28"/>
                <w:szCs w:val="28"/>
                <w:shd w:val="clear" w:color="auto" w:fill="FFFFFF"/>
              </w:rPr>
              <w:t xml:space="preserve">liên thông trên Cơ sở dữ liệu quốc gia: Liên thông các </w:t>
            </w:r>
            <w:r w:rsidR="009B0D3F">
              <w:rPr>
                <w:rFonts w:ascii="Times New Roman" w:hAnsi="Times New Roman" w:cs="Times New Roman"/>
                <w:sz w:val="28"/>
                <w:szCs w:val="28"/>
              </w:rPr>
              <w:t>TTHC</w:t>
            </w:r>
            <w:r w:rsidR="009B0D3F" w:rsidRPr="00DA3152">
              <w:rPr>
                <w:rFonts w:ascii="Times New Roman" w:hAnsi="Times New Roman" w:cs="Times New Roman"/>
                <w:sz w:val="28"/>
                <w:szCs w:val="28"/>
                <w:shd w:val="clear" w:color="auto" w:fill="FFFFFF"/>
              </w:rPr>
              <w:t xml:space="preserve"> </w:t>
            </w:r>
            <w:r w:rsidRPr="00DA3152">
              <w:rPr>
                <w:rFonts w:ascii="Times New Roman" w:hAnsi="Times New Roman" w:cs="Times New Roman"/>
                <w:sz w:val="28"/>
                <w:szCs w:val="28"/>
                <w:shd w:val="clear" w:color="auto" w:fill="FFFFFF"/>
              </w:rPr>
              <w:t>về đăng ký khai sinh, cấp Thẻ bảo hiểm y tế cho trẻ em dưới 6 tuổi (2.001023); Liên thông</w:t>
            </w:r>
            <w:r w:rsidR="009B0D3F">
              <w:rPr>
                <w:rFonts w:ascii="Times New Roman" w:hAnsi="Times New Roman" w:cs="Times New Roman"/>
                <w:sz w:val="28"/>
                <w:szCs w:val="28"/>
              </w:rPr>
              <w:t xml:space="preserve"> TTHC</w:t>
            </w:r>
            <w:r w:rsidR="009B0D3F" w:rsidRPr="00DA3152">
              <w:rPr>
                <w:rFonts w:ascii="Times New Roman" w:hAnsi="Times New Roman" w:cs="Times New Roman"/>
                <w:sz w:val="28"/>
                <w:szCs w:val="28"/>
                <w:shd w:val="clear" w:color="auto" w:fill="FFFFFF"/>
              </w:rPr>
              <w:t xml:space="preserve"> </w:t>
            </w:r>
            <w:r w:rsidRPr="00DA3152">
              <w:rPr>
                <w:rFonts w:ascii="Times New Roman" w:hAnsi="Times New Roman" w:cs="Times New Roman"/>
                <w:sz w:val="28"/>
                <w:szCs w:val="28"/>
                <w:shd w:val="clear" w:color="auto" w:fill="FFFFFF"/>
              </w:rPr>
              <w:t>về đăng ký khai sinh, đăng ký thường trú, cấp thẻ bảo hiểm y tế cho trẻ em dưới 6 tuổi (2.000986).</w:t>
            </w:r>
          </w:p>
        </w:tc>
      </w:tr>
      <w:tr w:rsidR="00DA3152" w:rsidRPr="00DA3152" w:rsidTr="00DA3152">
        <w:tc>
          <w:tcPr>
            <w:tcW w:w="846" w:type="dxa"/>
            <w:vAlign w:val="center"/>
          </w:tcPr>
          <w:p w:rsidR="007B2FD6" w:rsidRPr="00DA3152" w:rsidRDefault="007B2FD6"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7B2FD6" w:rsidRPr="00DA3152" w:rsidRDefault="007B2FD6" w:rsidP="00473D59">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Hưng Yên</w:t>
            </w:r>
          </w:p>
        </w:tc>
        <w:tc>
          <w:tcPr>
            <w:tcW w:w="7796" w:type="dxa"/>
            <w:vAlign w:val="center"/>
          </w:tcPr>
          <w:p w:rsidR="007B2FD6" w:rsidRPr="00DA3152" w:rsidRDefault="007B2FD6" w:rsidP="00DA3152">
            <w:pPr>
              <w:spacing w:before="40" w:after="40" w:line="240" w:lineRule="auto"/>
              <w:jc w:val="both"/>
              <w:rPr>
                <w:rFonts w:ascii="Times New Roman" w:hAnsi="Times New Roman" w:cs="Times New Roman"/>
                <w:b/>
                <w:bCs/>
                <w:sz w:val="28"/>
                <w:szCs w:val="28"/>
              </w:rPr>
            </w:pPr>
            <w:r w:rsidRPr="00473D59">
              <w:rPr>
                <w:rFonts w:ascii="Times New Roman" w:hAnsi="Times New Roman" w:cs="Times New Roman"/>
                <w:bCs/>
                <w:sz w:val="28"/>
                <w:szCs w:val="28"/>
              </w:rPr>
              <w:t>Đề nghị Bộ Tư pháp</w:t>
            </w:r>
            <w:r w:rsidRPr="00DA3152">
              <w:rPr>
                <w:rFonts w:ascii="Times New Roman" w:hAnsi="Times New Roman" w:cs="Times New Roman"/>
                <w:sz w:val="28"/>
                <w:szCs w:val="28"/>
              </w:rPr>
              <w:t xml:space="preserve"> rà soát, điều chỉnh hoặc có hướng dẫn đối với quy định tại “Khoản 4 Điều 3 Nghị định số 123/2015/NĐ-CP ngày 15/11/2015 của Chính phủ quy định chi tiết một số điều và biện pháp thi hành Luật hộ tịch: “Đối với việc đăng ký hộ tịch phải tiến hành xác minh theo quy định của Luật Hộ tịch và Nghị định này thì thời gian gửi văn bản yêu cầu và thời gian trả lời kết quả không tính vào thời hạn giải quyết việc hộ tịch cụ thể” và thời gian giải quyết TTHC Cải chính hộ tịch tại Quyết định công bố TTHC số 1079/QĐ-BTP ngày 11/06/2024 của Bộ Tư pháp công bố TTHC sửa đổi, bổ sung trong lĩnh vực hộ tịch thực hiện tại cơ quan đăng ký hộ tịch thuộc phạm vi chức năng quản lý của Bộ Tư pháp.</w:t>
            </w:r>
          </w:p>
        </w:tc>
      </w:tr>
      <w:tr w:rsidR="00DA3152" w:rsidRPr="00DA3152" w:rsidTr="00DA3152">
        <w:tc>
          <w:tcPr>
            <w:tcW w:w="846" w:type="dxa"/>
            <w:vAlign w:val="center"/>
          </w:tcPr>
          <w:p w:rsidR="00A922A5" w:rsidRPr="00DA3152" w:rsidRDefault="00A922A5"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A922A5" w:rsidRPr="00DA3152" w:rsidRDefault="00A922A5" w:rsidP="00473D59">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r w:rsidR="00473D59">
              <w:rPr>
                <w:rFonts w:ascii="Times New Roman" w:hAnsi="Times New Roman" w:cs="Times New Roman"/>
                <w:spacing w:val="-6"/>
                <w:sz w:val="28"/>
                <w:szCs w:val="28"/>
              </w:rPr>
              <w:br/>
            </w:r>
            <w:r w:rsidRPr="00DA3152">
              <w:rPr>
                <w:rFonts w:ascii="Times New Roman" w:hAnsi="Times New Roman" w:cs="Times New Roman"/>
                <w:spacing w:val="-6"/>
                <w:sz w:val="28"/>
                <w:szCs w:val="28"/>
              </w:rPr>
              <w:t>Tây Ninh</w:t>
            </w:r>
          </w:p>
        </w:tc>
        <w:tc>
          <w:tcPr>
            <w:tcW w:w="7796" w:type="dxa"/>
            <w:vAlign w:val="center"/>
          </w:tcPr>
          <w:p w:rsidR="00A922A5" w:rsidRPr="00473D59" w:rsidRDefault="00A922A5" w:rsidP="00DA3152">
            <w:pPr>
              <w:spacing w:before="40" w:after="40" w:line="240" w:lineRule="auto"/>
              <w:jc w:val="both"/>
              <w:rPr>
                <w:rFonts w:ascii="Times New Roman" w:hAnsi="Times New Roman" w:cs="Times New Roman"/>
                <w:bCs/>
                <w:sz w:val="28"/>
                <w:szCs w:val="28"/>
              </w:rPr>
            </w:pPr>
            <w:r w:rsidRPr="00473D59">
              <w:rPr>
                <w:rFonts w:ascii="Times New Roman" w:hAnsi="Times New Roman" w:cs="Times New Roman"/>
                <w:bCs/>
                <w:sz w:val="28"/>
                <w:szCs w:val="28"/>
              </w:rPr>
              <w:t>Kiến nghị Bộ Tư pháp</w:t>
            </w:r>
            <w:r w:rsidRPr="00473D59">
              <w:rPr>
                <w:rFonts w:ascii="Times New Roman" w:hAnsi="Times New Roman" w:cs="Times New Roman"/>
                <w:sz w:val="28"/>
                <w:szCs w:val="28"/>
              </w:rPr>
              <w:t xml:space="preserve"> nâng cấp Hệ thống đăng ký, quản lý hộ tịch và phần mềm lý lịch tư pháp. Hệ thống thường xuyên lỗi không đăng </w:t>
            </w:r>
            <w:r w:rsidRPr="00473D59">
              <w:rPr>
                <w:rFonts w:ascii="Times New Roman" w:hAnsi="Times New Roman" w:cs="Times New Roman"/>
                <w:sz w:val="28"/>
                <w:szCs w:val="28"/>
              </w:rPr>
              <w:lastRenderedPageBreak/>
              <w:t>nhập được. Đồng thời, đồng bộ dữ liệu từ Hệ thống thông tin giải quyết</w:t>
            </w:r>
            <w:r w:rsidR="009B0D3F">
              <w:rPr>
                <w:rFonts w:ascii="Times New Roman" w:hAnsi="Times New Roman" w:cs="Times New Roman"/>
                <w:sz w:val="28"/>
                <w:szCs w:val="28"/>
              </w:rPr>
              <w:t xml:space="preserve"> TTHC</w:t>
            </w:r>
            <w:r w:rsidR="009B0D3F" w:rsidRPr="00473D59">
              <w:rPr>
                <w:rFonts w:ascii="Times New Roman" w:hAnsi="Times New Roman" w:cs="Times New Roman"/>
                <w:sz w:val="28"/>
                <w:szCs w:val="28"/>
              </w:rPr>
              <w:t xml:space="preserve"> </w:t>
            </w:r>
            <w:r w:rsidRPr="00473D59">
              <w:rPr>
                <w:rFonts w:ascii="Times New Roman" w:hAnsi="Times New Roman" w:cs="Times New Roman"/>
                <w:sz w:val="28"/>
                <w:szCs w:val="28"/>
              </w:rPr>
              <w:t xml:space="preserve">tỉnh về hộ tịch, lý lịch tư pháp thường xuyên lỗi, ảnh hưởng đến thời gian xử lý của công chức cũng như kết quả giải quyết </w:t>
            </w:r>
            <w:r w:rsidR="009B0D3F">
              <w:rPr>
                <w:rFonts w:ascii="Times New Roman" w:hAnsi="Times New Roman" w:cs="Times New Roman"/>
                <w:sz w:val="28"/>
                <w:szCs w:val="28"/>
              </w:rPr>
              <w:t xml:space="preserve"> TTHC</w:t>
            </w:r>
            <w:r w:rsidR="009B0D3F" w:rsidRPr="00473D59">
              <w:rPr>
                <w:rFonts w:ascii="Times New Roman" w:hAnsi="Times New Roman" w:cs="Times New Roman"/>
                <w:sz w:val="28"/>
                <w:szCs w:val="28"/>
              </w:rPr>
              <w:t xml:space="preserve"> </w:t>
            </w:r>
            <w:r w:rsidRPr="00473D59">
              <w:rPr>
                <w:rFonts w:ascii="Times New Roman" w:hAnsi="Times New Roman" w:cs="Times New Roman"/>
                <w:sz w:val="28"/>
                <w:szCs w:val="28"/>
              </w:rPr>
              <w:t>cho người dân.</w:t>
            </w:r>
          </w:p>
        </w:tc>
      </w:tr>
      <w:tr w:rsidR="00DA3152" w:rsidRPr="00DA3152" w:rsidTr="00DA3152">
        <w:tc>
          <w:tcPr>
            <w:tcW w:w="846" w:type="dxa"/>
            <w:vAlign w:val="center"/>
          </w:tcPr>
          <w:p w:rsidR="00033213" w:rsidRPr="00DA3152" w:rsidRDefault="00033213" w:rsidP="00DA3152">
            <w:pPr>
              <w:pStyle w:val="ListParagraph"/>
              <w:numPr>
                <w:ilvl w:val="0"/>
                <w:numId w:val="10"/>
              </w:numPr>
              <w:spacing w:before="40" w:after="40" w:line="240" w:lineRule="auto"/>
              <w:ind w:right="-102"/>
              <w:rPr>
                <w:rFonts w:ascii="Times New Roman" w:hAnsi="Times New Roman" w:cs="Times New Roman"/>
                <w:sz w:val="28"/>
                <w:szCs w:val="28"/>
              </w:rPr>
            </w:pPr>
          </w:p>
        </w:tc>
        <w:tc>
          <w:tcPr>
            <w:tcW w:w="1990" w:type="dxa"/>
            <w:vAlign w:val="center"/>
          </w:tcPr>
          <w:p w:rsidR="00033213" w:rsidRPr="00DA3152" w:rsidRDefault="00033213" w:rsidP="00473D59">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Vĩnh Long</w:t>
            </w:r>
          </w:p>
        </w:tc>
        <w:tc>
          <w:tcPr>
            <w:tcW w:w="7796" w:type="dxa"/>
            <w:vAlign w:val="center"/>
          </w:tcPr>
          <w:p w:rsidR="00033213" w:rsidRPr="00473D59" w:rsidRDefault="00033213" w:rsidP="00DA3152">
            <w:pPr>
              <w:spacing w:before="40" w:after="40" w:line="240" w:lineRule="auto"/>
              <w:jc w:val="both"/>
              <w:rPr>
                <w:rFonts w:ascii="Times New Roman" w:hAnsi="Times New Roman" w:cs="Times New Roman"/>
                <w:bCs/>
                <w:sz w:val="28"/>
                <w:szCs w:val="28"/>
              </w:rPr>
            </w:pPr>
            <w:r w:rsidRPr="00473D59">
              <w:rPr>
                <w:rFonts w:ascii="Times New Roman" w:hAnsi="Times New Roman" w:cs="Times New Roman"/>
                <w:bCs/>
                <w:sz w:val="28"/>
                <w:szCs w:val="28"/>
              </w:rPr>
              <w:t>Kiến nghị Bộ Tư pháp</w:t>
            </w:r>
            <w:r w:rsidRPr="00473D59">
              <w:rPr>
                <w:rFonts w:ascii="Times New Roman" w:hAnsi="Times New Roman" w:cs="Times New Roman"/>
                <w:sz w:val="28"/>
                <w:szCs w:val="28"/>
              </w:rPr>
              <w:t xml:space="preserve"> sớm khắc phục tình trạng lỗi khi chuyển hồ sơ dịch vụ công liên thông từ Hệ thống thông tin giải quyết TTHC của tỉnh qua Hệ thống thông tin Quản lý hộ tịch của Bộ Tư pháp đối với 02 nhóm</w:t>
            </w:r>
            <w:r w:rsidR="009B0D3F">
              <w:rPr>
                <w:rFonts w:ascii="Times New Roman" w:hAnsi="Times New Roman" w:cs="Times New Roman"/>
                <w:sz w:val="28"/>
                <w:szCs w:val="28"/>
              </w:rPr>
              <w:t xml:space="preserve"> TTHC</w:t>
            </w:r>
            <w:r w:rsidR="009B0D3F" w:rsidRPr="00473D59">
              <w:rPr>
                <w:rFonts w:ascii="Times New Roman" w:hAnsi="Times New Roman" w:cs="Times New Roman"/>
                <w:sz w:val="28"/>
                <w:szCs w:val="28"/>
              </w:rPr>
              <w:t xml:space="preserve"> </w:t>
            </w:r>
            <w:r w:rsidRPr="00473D59">
              <w:rPr>
                <w:rFonts w:ascii="Times New Roman" w:hAnsi="Times New Roman" w:cs="Times New Roman"/>
                <w:sz w:val="28"/>
                <w:szCs w:val="28"/>
              </w:rPr>
              <w:t>liên thông điện tử: Đăng ký khai sinh, đăng ký thường trú, cấp thẻ bảo hiểm y tế cho trẻ em dưới 6 tuổi; Đăng ký khai tử, xóa đăng ký thường trú, giải quyết mai táng phí, tử tuất.</w:t>
            </w:r>
          </w:p>
        </w:tc>
      </w:tr>
      <w:tr w:rsidR="00DA3152" w:rsidRPr="00DA3152" w:rsidTr="00DA3152">
        <w:tc>
          <w:tcPr>
            <w:tcW w:w="846" w:type="dxa"/>
            <w:vAlign w:val="center"/>
          </w:tcPr>
          <w:p w:rsidR="00BB5F74" w:rsidRPr="00DA3152" w:rsidRDefault="00BB5F74" w:rsidP="00DA3152">
            <w:pPr>
              <w:spacing w:before="40" w:after="40" w:line="240" w:lineRule="auto"/>
              <w:ind w:left="-108" w:right="-102" w:hanging="3"/>
              <w:jc w:val="center"/>
              <w:rPr>
                <w:rFonts w:ascii="Times New Roman" w:hAnsi="Times New Roman" w:cs="Times New Roman"/>
                <w:b/>
                <w:sz w:val="28"/>
                <w:szCs w:val="28"/>
              </w:rPr>
            </w:pPr>
            <w:r w:rsidRPr="00DA3152">
              <w:rPr>
                <w:rFonts w:ascii="Times New Roman" w:hAnsi="Times New Roman" w:cs="Times New Roman"/>
                <w:b/>
                <w:sz w:val="28"/>
                <w:szCs w:val="28"/>
              </w:rPr>
              <w:t>XI</w:t>
            </w:r>
          </w:p>
        </w:tc>
        <w:tc>
          <w:tcPr>
            <w:tcW w:w="9786" w:type="dxa"/>
            <w:gridSpan w:val="2"/>
            <w:vAlign w:val="center"/>
          </w:tcPr>
          <w:p w:rsidR="00BB5F74" w:rsidRPr="00DA3152" w:rsidRDefault="00BB5F74" w:rsidP="00DA3152">
            <w:pPr>
              <w:spacing w:before="40" w:after="40" w:line="240" w:lineRule="auto"/>
              <w:jc w:val="both"/>
              <w:rPr>
                <w:rFonts w:ascii="Times New Roman" w:hAnsi="Times New Roman" w:cs="Times New Roman"/>
                <w:b/>
                <w:bCs/>
                <w:sz w:val="28"/>
                <w:szCs w:val="28"/>
                <w:shd w:val="clear" w:color="auto" w:fill="FFFFFF"/>
              </w:rPr>
            </w:pPr>
            <w:r w:rsidRPr="00DA3152">
              <w:rPr>
                <w:rFonts w:ascii="Times New Roman" w:hAnsi="Times New Roman" w:cs="Times New Roman"/>
                <w:b/>
                <w:spacing w:val="-6"/>
                <w:sz w:val="28"/>
                <w:szCs w:val="28"/>
              </w:rPr>
              <w:t>Kiến nghị, đề xuất với Bộ Y tế</w:t>
            </w:r>
          </w:p>
        </w:tc>
      </w:tr>
      <w:tr w:rsidR="00DA3152" w:rsidRPr="00DA3152" w:rsidTr="00DA3152">
        <w:tc>
          <w:tcPr>
            <w:tcW w:w="846" w:type="dxa"/>
            <w:vAlign w:val="center"/>
          </w:tcPr>
          <w:p w:rsidR="005C439A" w:rsidRPr="00DA3152" w:rsidRDefault="005C439A"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Merge w:val="restart"/>
            <w:vAlign w:val="center"/>
          </w:tcPr>
          <w:p w:rsidR="005C439A" w:rsidRPr="00DA3152" w:rsidRDefault="005C439A"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 xml:space="preserve">UBND tỉnh </w:t>
            </w:r>
            <w:r w:rsidR="00473D59">
              <w:rPr>
                <w:rFonts w:ascii="Times New Roman" w:hAnsi="Times New Roman" w:cs="Times New Roman"/>
                <w:spacing w:val="-6"/>
                <w:sz w:val="28"/>
                <w:szCs w:val="28"/>
              </w:rPr>
              <w:br/>
            </w:r>
            <w:r w:rsidRPr="00DA3152">
              <w:rPr>
                <w:rFonts w:ascii="Times New Roman" w:hAnsi="Times New Roman" w:cs="Times New Roman"/>
                <w:spacing w:val="-6"/>
                <w:sz w:val="28"/>
                <w:szCs w:val="28"/>
              </w:rPr>
              <w:t>Hà Tĩnh</w:t>
            </w:r>
          </w:p>
        </w:tc>
        <w:tc>
          <w:tcPr>
            <w:tcW w:w="7796" w:type="dxa"/>
            <w:vAlign w:val="center"/>
          </w:tcPr>
          <w:p w:rsidR="005C439A" w:rsidRPr="00DA3152" w:rsidRDefault="005C439A" w:rsidP="00DA3152">
            <w:pPr>
              <w:spacing w:before="40" w:after="40" w:line="240" w:lineRule="auto"/>
              <w:jc w:val="both"/>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 Sớm có quyết định sửa đổi, bổ sung các nội dung liên quan đến các vấn đề bất cập, chồng chéo trong quá trình thực hiện TTHC.</w:t>
            </w:r>
          </w:p>
        </w:tc>
      </w:tr>
      <w:tr w:rsidR="00DA3152" w:rsidRPr="00DA3152" w:rsidTr="00DA3152">
        <w:tc>
          <w:tcPr>
            <w:tcW w:w="846" w:type="dxa"/>
            <w:vAlign w:val="center"/>
          </w:tcPr>
          <w:p w:rsidR="005C439A" w:rsidRPr="00DA3152" w:rsidRDefault="005C439A"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Merge/>
            <w:vAlign w:val="center"/>
          </w:tcPr>
          <w:p w:rsidR="005C439A" w:rsidRPr="00DA3152" w:rsidRDefault="005C439A" w:rsidP="00DA3152">
            <w:pPr>
              <w:spacing w:before="40" w:after="40" w:line="240" w:lineRule="auto"/>
              <w:jc w:val="center"/>
              <w:rPr>
                <w:rFonts w:ascii="Times New Roman" w:hAnsi="Times New Roman" w:cs="Times New Roman"/>
                <w:spacing w:val="-6"/>
                <w:sz w:val="28"/>
                <w:szCs w:val="28"/>
              </w:rPr>
            </w:pPr>
          </w:p>
        </w:tc>
        <w:tc>
          <w:tcPr>
            <w:tcW w:w="7796" w:type="dxa"/>
            <w:vAlign w:val="center"/>
          </w:tcPr>
          <w:p w:rsidR="005C439A" w:rsidRPr="00DA3152" w:rsidRDefault="005C439A" w:rsidP="00DA3152">
            <w:pPr>
              <w:spacing w:before="40" w:after="40" w:line="240" w:lineRule="auto"/>
              <w:jc w:val="both"/>
              <w:rPr>
                <w:rFonts w:ascii="Times New Roman" w:hAnsi="Times New Roman" w:cs="Times New Roman"/>
                <w:sz w:val="28"/>
                <w:szCs w:val="28"/>
                <w:shd w:val="clear" w:color="auto" w:fill="FFFFFF"/>
              </w:rPr>
            </w:pPr>
            <w:r w:rsidRPr="00DA3152">
              <w:rPr>
                <w:rFonts w:ascii="Times New Roman" w:hAnsi="Times New Roman" w:cs="Times New Roman"/>
                <w:sz w:val="28"/>
                <w:szCs w:val="28"/>
                <w:shd w:val="clear" w:color="auto" w:fill="FFFFFF"/>
              </w:rPr>
              <w:t>- Sớm thực thi phương án được giao theo Quyết định số 1661/QĐ-TTg ngày 04/10/2021 của Thủ tướng Chính phủ Phê duyệt phương án cắt giảm, đơn giản hóa quy định liên quan đến hoạt động kinh doanh thuộc phạm vi quản lý nhà nước của Bộ Y tế</w:t>
            </w:r>
          </w:p>
        </w:tc>
      </w:tr>
      <w:tr w:rsidR="00DA3152" w:rsidRPr="00DA3152" w:rsidTr="00DA3152">
        <w:tc>
          <w:tcPr>
            <w:tcW w:w="846" w:type="dxa"/>
            <w:vAlign w:val="center"/>
          </w:tcPr>
          <w:p w:rsidR="009F7C8E" w:rsidRPr="00DA3152" w:rsidRDefault="009F7C8E"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9F7C8E" w:rsidRPr="00DA3152" w:rsidRDefault="009F7C8E" w:rsidP="00DA3152">
            <w:pPr>
              <w:spacing w:before="40" w:after="40" w:line="240" w:lineRule="auto"/>
              <w:jc w:val="center"/>
              <w:rPr>
                <w:rFonts w:ascii="Times New Roman" w:hAnsi="Times New Roman" w:cs="Times New Roman"/>
                <w:spacing w:val="-6"/>
                <w:sz w:val="28"/>
                <w:szCs w:val="28"/>
              </w:rPr>
            </w:pPr>
            <w:r w:rsidRPr="00DA3152">
              <w:rPr>
                <w:rFonts w:ascii="Times New Roman" w:hAnsi="Times New Roman" w:cs="Times New Roman"/>
                <w:spacing w:val="-6"/>
                <w:sz w:val="28"/>
                <w:szCs w:val="28"/>
              </w:rPr>
              <w:t>UBND tỉnh Bình Phước</w:t>
            </w:r>
          </w:p>
        </w:tc>
        <w:tc>
          <w:tcPr>
            <w:tcW w:w="7796" w:type="dxa"/>
            <w:vAlign w:val="center"/>
          </w:tcPr>
          <w:p w:rsidR="009F7C8E" w:rsidRPr="00DA3152" w:rsidRDefault="009F7C8E" w:rsidP="00DA3152">
            <w:pPr>
              <w:spacing w:before="40" w:after="40" w:line="240" w:lineRule="auto"/>
              <w:jc w:val="both"/>
              <w:rPr>
                <w:rFonts w:ascii="Times New Roman" w:hAnsi="Times New Roman" w:cs="Times New Roman"/>
                <w:sz w:val="28"/>
                <w:szCs w:val="28"/>
                <w:shd w:val="clear" w:color="auto" w:fill="FFFFFF"/>
              </w:rPr>
            </w:pPr>
            <w:r w:rsidRPr="00473D59">
              <w:rPr>
                <w:rFonts w:ascii="Times New Roman" w:hAnsi="Times New Roman" w:cs="Times New Roman"/>
                <w:bCs/>
                <w:sz w:val="28"/>
                <w:szCs w:val="28"/>
              </w:rPr>
              <w:t>Kiến nghị Bộ Y tế</w:t>
            </w:r>
            <w:r w:rsidRPr="00DA3152">
              <w:rPr>
                <w:rFonts w:ascii="Times New Roman" w:hAnsi="Times New Roman" w:cs="Times New Roman"/>
                <w:sz w:val="28"/>
                <w:szCs w:val="28"/>
              </w:rPr>
              <w:t xml:space="preserve"> xem xét sửa đổi thông tin dữ liệu TTHC được cập nhật trên Cơ sở dữ liệu và tại Quyết định số 2456/QĐ-BYT ngày 19/8/2024, về thời gian giải quyết TTHC là "0 ngày làm việc" trong khi cơ sở pháp lý tại Nghị định số 98/2021/NĐ-CP không quy định thời gian giải quyết đối với TTHC này</w:t>
            </w:r>
          </w:p>
        </w:tc>
      </w:tr>
      <w:tr w:rsidR="0086550A" w:rsidRPr="00DA3152" w:rsidTr="00A67EE4">
        <w:tc>
          <w:tcPr>
            <w:tcW w:w="846" w:type="dxa"/>
            <w:vAlign w:val="center"/>
          </w:tcPr>
          <w:p w:rsidR="0086550A" w:rsidRPr="0086550A" w:rsidRDefault="0086550A" w:rsidP="0086550A">
            <w:pPr>
              <w:spacing w:before="40" w:after="40" w:line="240" w:lineRule="auto"/>
              <w:ind w:right="-102"/>
              <w:jc w:val="center"/>
              <w:rPr>
                <w:rFonts w:ascii="Times New Roman" w:hAnsi="Times New Roman" w:cs="Times New Roman"/>
                <w:b/>
                <w:sz w:val="28"/>
                <w:szCs w:val="28"/>
              </w:rPr>
            </w:pPr>
            <w:r w:rsidRPr="0086550A">
              <w:rPr>
                <w:rFonts w:ascii="Times New Roman" w:hAnsi="Times New Roman" w:cs="Times New Roman"/>
                <w:b/>
                <w:sz w:val="28"/>
                <w:szCs w:val="28"/>
              </w:rPr>
              <w:t>XII</w:t>
            </w:r>
          </w:p>
        </w:tc>
        <w:tc>
          <w:tcPr>
            <w:tcW w:w="9786" w:type="dxa"/>
            <w:gridSpan w:val="2"/>
            <w:vAlign w:val="center"/>
          </w:tcPr>
          <w:p w:rsidR="0086550A" w:rsidRPr="00473D59" w:rsidRDefault="0086550A" w:rsidP="00DA3152">
            <w:pPr>
              <w:spacing w:before="40" w:after="40" w:line="240" w:lineRule="auto"/>
              <w:jc w:val="both"/>
              <w:rPr>
                <w:rFonts w:ascii="Times New Roman" w:hAnsi="Times New Roman" w:cs="Times New Roman"/>
                <w:bCs/>
                <w:sz w:val="28"/>
                <w:szCs w:val="28"/>
              </w:rPr>
            </w:pPr>
            <w:r w:rsidRPr="00DA3152">
              <w:rPr>
                <w:rFonts w:ascii="Times New Roman" w:hAnsi="Times New Roman" w:cs="Times New Roman"/>
                <w:b/>
                <w:spacing w:val="-6"/>
                <w:sz w:val="28"/>
                <w:szCs w:val="28"/>
              </w:rPr>
              <w:t>Kiến nghị, đề xuất với</w:t>
            </w:r>
            <w:r>
              <w:rPr>
                <w:rFonts w:ascii="Times New Roman" w:hAnsi="Times New Roman" w:cs="Times New Roman"/>
                <w:b/>
                <w:spacing w:val="-6"/>
                <w:sz w:val="28"/>
                <w:szCs w:val="28"/>
              </w:rPr>
              <w:t xml:space="preserve"> Bảo hiểm xã hội Việt Nam</w:t>
            </w:r>
          </w:p>
        </w:tc>
      </w:tr>
      <w:tr w:rsidR="0086550A" w:rsidRPr="00DA3152" w:rsidTr="00DA3152">
        <w:tc>
          <w:tcPr>
            <w:tcW w:w="846" w:type="dxa"/>
            <w:vAlign w:val="center"/>
          </w:tcPr>
          <w:p w:rsidR="0086550A" w:rsidRPr="00DA3152" w:rsidRDefault="0086550A" w:rsidP="00DA3152">
            <w:pPr>
              <w:pStyle w:val="ListParagraph"/>
              <w:numPr>
                <w:ilvl w:val="0"/>
                <w:numId w:val="10"/>
              </w:numPr>
              <w:spacing w:before="40" w:after="40" w:line="240" w:lineRule="auto"/>
              <w:ind w:right="-102"/>
              <w:jc w:val="center"/>
              <w:rPr>
                <w:rFonts w:ascii="Times New Roman" w:hAnsi="Times New Roman" w:cs="Times New Roman"/>
                <w:sz w:val="28"/>
                <w:szCs w:val="28"/>
              </w:rPr>
            </w:pPr>
          </w:p>
        </w:tc>
        <w:tc>
          <w:tcPr>
            <w:tcW w:w="1990" w:type="dxa"/>
            <w:vAlign w:val="center"/>
          </w:tcPr>
          <w:p w:rsidR="0086550A" w:rsidRPr="0086550A" w:rsidRDefault="0086550A" w:rsidP="00DA3152">
            <w:pPr>
              <w:spacing w:before="40" w:after="40" w:line="240" w:lineRule="auto"/>
              <w:jc w:val="center"/>
              <w:rPr>
                <w:rFonts w:ascii="Times New Roman" w:hAnsi="Times New Roman" w:cs="Times New Roman"/>
                <w:spacing w:val="-6"/>
                <w:sz w:val="28"/>
                <w:szCs w:val="28"/>
              </w:rPr>
            </w:pPr>
            <w:r w:rsidRPr="0086550A">
              <w:rPr>
                <w:rFonts w:ascii="Times New Roman" w:hAnsi="Times New Roman" w:cs="Times New Roman"/>
                <w:sz w:val="28"/>
                <w:szCs w:val="28"/>
              </w:rPr>
              <w:t>UBND tỉnh Thanh Hóa</w:t>
            </w:r>
          </w:p>
        </w:tc>
        <w:tc>
          <w:tcPr>
            <w:tcW w:w="7796" w:type="dxa"/>
            <w:vAlign w:val="center"/>
          </w:tcPr>
          <w:p w:rsidR="0086550A" w:rsidRPr="0086550A" w:rsidRDefault="0086550A" w:rsidP="00DA3152">
            <w:pPr>
              <w:spacing w:before="40" w:after="40" w:line="240" w:lineRule="auto"/>
              <w:jc w:val="both"/>
              <w:rPr>
                <w:rFonts w:ascii="Times New Roman" w:hAnsi="Times New Roman" w:cs="Times New Roman"/>
                <w:bCs/>
                <w:sz w:val="28"/>
                <w:szCs w:val="28"/>
              </w:rPr>
            </w:pPr>
            <w:r w:rsidRPr="0086550A">
              <w:rPr>
                <w:rFonts w:ascii="Times New Roman" w:hAnsi="Times New Roman" w:cs="Times New Roman"/>
                <w:sz w:val="28"/>
                <w:szCs w:val="28"/>
                <w:shd w:val="clear" w:color="auto" w:fill="FFFFFF"/>
              </w:rPr>
              <w:t>Bảo hiểm xã hội Việt Nam hướng dẫn, chia sẻ, cập nhật các TTHC của Bảo hiểm xã hội tỉnh vào Cơ sở dữ liệu TTHC của tỉnh Thanh Hóa trên Cổng Dịch vụ công quốc gia, để thực hiện đồng bộ, cập nhật TTHC trên Hệ thống thông tin giải quyết TTHC của tỉnh.</w:t>
            </w:r>
          </w:p>
        </w:tc>
      </w:tr>
    </w:tbl>
    <w:p w:rsidR="00F069C3" w:rsidRDefault="00F069C3" w:rsidP="009A19DE">
      <w:pPr>
        <w:spacing w:after="0" w:line="240" w:lineRule="exact"/>
        <w:rPr>
          <w:rFonts w:ascii="Times New Roman" w:hAnsi="Times New Roman" w:cs="Times New Roman"/>
          <w:b/>
          <w:sz w:val="26"/>
          <w:szCs w:val="26"/>
        </w:rPr>
      </w:pPr>
    </w:p>
    <w:p w:rsidR="0086550A" w:rsidRDefault="0086550A" w:rsidP="009A19DE">
      <w:pPr>
        <w:spacing w:after="0" w:line="240" w:lineRule="exact"/>
        <w:rPr>
          <w:rFonts w:ascii="Times New Roman" w:hAnsi="Times New Roman" w:cs="Times New Roman"/>
          <w:b/>
          <w:sz w:val="26"/>
          <w:szCs w:val="26"/>
        </w:rPr>
      </w:pPr>
    </w:p>
    <w:p w:rsidR="0086550A" w:rsidRDefault="0086550A" w:rsidP="009A19DE">
      <w:pPr>
        <w:spacing w:after="0" w:line="240" w:lineRule="exact"/>
        <w:rPr>
          <w:rFonts w:ascii="Times New Roman" w:hAnsi="Times New Roman" w:cs="Times New Roman"/>
          <w:b/>
          <w:sz w:val="26"/>
          <w:szCs w:val="26"/>
        </w:rPr>
      </w:pPr>
    </w:p>
    <w:p w:rsidR="005C439A" w:rsidRDefault="005C439A" w:rsidP="009A19DE">
      <w:pPr>
        <w:spacing w:after="0" w:line="240" w:lineRule="exact"/>
        <w:rPr>
          <w:rFonts w:ascii="Times New Roman" w:hAnsi="Times New Roman" w:cs="Times New Roman"/>
          <w:b/>
          <w:sz w:val="26"/>
          <w:szCs w:val="26"/>
        </w:rPr>
      </w:pPr>
    </w:p>
    <w:p w:rsidR="00A922A5" w:rsidRDefault="00A922A5" w:rsidP="009A19DE">
      <w:pPr>
        <w:spacing w:after="0" w:line="240" w:lineRule="exact"/>
        <w:rPr>
          <w:rFonts w:ascii="Times New Roman" w:hAnsi="Times New Roman" w:cs="Times New Roman"/>
          <w:b/>
          <w:sz w:val="26"/>
          <w:szCs w:val="26"/>
        </w:rPr>
      </w:pPr>
    </w:p>
    <w:p w:rsidR="00A922A5" w:rsidRDefault="00A922A5" w:rsidP="009A19DE">
      <w:pPr>
        <w:spacing w:after="0" w:line="240" w:lineRule="exact"/>
        <w:rPr>
          <w:rFonts w:ascii="Times New Roman" w:hAnsi="Times New Roman" w:cs="Times New Roman"/>
          <w:b/>
          <w:sz w:val="26"/>
          <w:szCs w:val="26"/>
        </w:rPr>
      </w:pPr>
    </w:p>
    <w:p w:rsidR="002B3924" w:rsidRPr="00E56EF8" w:rsidRDefault="002B3924" w:rsidP="009A19DE">
      <w:pPr>
        <w:spacing w:after="0" w:line="240" w:lineRule="exact"/>
        <w:rPr>
          <w:rFonts w:ascii="Times New Roman" w:hAnsi="Times New Roman" w:cs="Times New Roman"/>
          <w:b/>
          <w:sz w:val="26"/>
          <w:szCs w:val="26"/>
        </w:rPr>
      </w:pPr>
    </w:p>
    <w:p w:rsidR="00267769" w:rsidRPr="00E56EF8" w:rsidRDefault="00267769" w:rsidP="009A19DE">
      <w:pPr>
        <w:spacing w:after="0" w:line="240" w:lineRule="exact"/>
        <w:rPr>
          <w:rFonts w:ascii="Times New Roman" w:hAnsi="Times New Roman" w:cs="Times New Roman"/>
          <w:b/>
          <w:sz w:val="26"/>
          <w:szCs w:val="26"/>
        </w:rPr>
      </w:pPr>
    </w:p>
    <w:p w:rsidR="00267769" w:rsidRPr="00E56EF8" w:rsidRDefault="00267769" w:rsidP="009A19DE">
      <w:pPr>
        <w:spacing w:after="0" w:line="240" w:lineRule="exact"/>
        <w:rPr>
          <w:rFonts w:ascii="Times New Roman" w:hAnsi="Times New Roman" w:cs="Times New Roman"/>
          <w:b/>
          <w:sz w:val="26"/>
          <w:szCs w:val="26"/>
        </w:rPr>
      </w:pPr>
    </w:p>
    <w:p w:rsidR="00267769" w:rsidRPr="00E56EF8" w:rsidRDefault="00267769" w:rsidP="009A19DE">
      <w:pPr>
        <w:spacing w:after="0" w:line="240" w:lineRule="exact"/>
        <w:rPr>
          <w:rFonts w:ascii="Times New Roman" w:hAnsi="Times New Roman" w:cs="Times New Roman"/>
          <w:b/>
          <w:sz w:val="26"/>
          <w:szCs w:val="26"/>
        </w:rPr>
      </w:pPr>
    </w:p>
    <w:p w:rsidR="00267769" w:rsidRPr="00E56EF8" w:rsidRDefault="00267769" w:rsidP="009A19DE">
      <w:pPr>
        <w:spacing w:after="0" w:line="240" w:lineRule="exact"/>
        <w:rPr>
          <w:rFonts w:ascii="Times New Roman" w:hAnsi="Times New Roman" w:cs="Times New Roman"/>
          <w:b/>
          <w:sz w:val="26"/>
          <w:szCs w:val="26"/>
        </w:rPr>
      </w:pPr>
    </w:p>
    <w:p w:rsidR="00267769" w:rsidRPr="00E56EF8" w:rsidRDefault="00267769" w:rsidP="009A19DE">
      <w:pPr>
        <w:spacing w:after="0" w:line="240" w:lineRule="exact"/>
        <w:rPr>
          <w:rFonts w:ascii="Times New Roman" w:hAnsi="Times New Roman" w:cs="Times New Roman"/>
          <w:b/>
          <w:sz w:val="26"/>
          <w:szCs w:val="26"/>
        </w:rPr>
      </w:pPr>
    </w:p>
    <w:p w:rsidR="00267769" w:rsidRPr="00E56EF8" w:rsidRDefault="00267769" w:rsidP="009A19DE">
      <w:pPr>
        <w:spacing w:after="0" w:line="240" w:lineRule="exact"/>
        <w:rPr>
          <w:rFonts w:ascii="Times New Roman" w:hAnsi="Times New Roman" w:cs="Times New Roman"/>
          <w:b/>
          <w:sz w:val="26"/>
          <w:szCs w:val="26"/>
        </w:rPr>
      </w:pPr>
    </w:p>
    <w:p w:rsidR="00267769" w:rsidRPr="00E56EF8" w:rsidRDefault="00267769" w:rsidP="009A19DE">
      <w:pPr>
        <w:spacing w:after="0" w:line="240" w:lineRule="exact"/>
        <w:rPr>
          <w:rFonts w:ascii="Times New Roman" w:hAnsi="Times New Roman" w:cs="Times New Roman"/>
          <w:b/>
          <w:sz w:val="26"/>
          <w:szCs w:val="26"/>
        </w:rPr>
      </w:pPr>
    </w:p>
    <w:sectPr w:rsidR="00267769" w:rsidRPr="00E56EF8" w:rsidSect="007314DF">
      <w:headerReference w:type="default" r:id="rId8"/>
      <w:footerReference w:type="default" r:id="rId9"/>
      <w:pgSz w:w="11907" w:h="16840" w:code="9"/>
      <w:pgMar w:top="1134" w:right="425" w:bottom="851"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860" w:rsidRDefault="00725860" w:rsidP="00214870">
      <w:pPr>
        <w:spacing w:after="0" w:line="240" w:lineRule="auto"/>
      </w:pPr>
      <w:r>
        <w:separator/>
      </w:r>
    </w:p>
  </w:endnote>
  <w:endnote w:type="continuationSeparator" w:id="0">
    <w:p w:rsidR="00725860" w:rsidRDefault="00725860" w:rsidP="00214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F2B" w:rsidRDefault="00A66F2B">
    <w:pPr>
      <w:pStyle w:val="Footer"/>
      <w:jc w:val="right"/>
    </w:pPr>
  </w:p>
  <w:p w:rsidR="00A66F2B" w:rsidRDefault="00A66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860" w:rsidRDefault="00725860" w:rsidP="00214870">
      <w:pPr>
        <w:spacing w:after="0" w:line="240" w:lineRule="auto"/>
      </w:pPr>
      <w:r>
        <w:separator/>
      </w:r>
    </w:p>
  </w:footnote>
  <w:footnote w:type="continuationSeparator" w:id="0">
    <w:p w:rsidR="00725860" w:rsidRDefault="00725860" w:rsidP="00214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643680"/>
      <w:docPartObj>
        <w:docPartGallery w:val="Page Numbers (Top of Page)"/>
        <w:docPartUnique/>
      </w:docPartObj>
    </w:sdtPr>
    <w:sdtEndPr>
      <w:rPr>
        <w:rFonts w:ascii="Times New Roman" w:hAnsi="Times New Roman" w:cs="Times New Roman"/>
        <w:noProof/>
        <w:sz w:val="24"/>
        <w:szCs w:val="24"/>
      </w:rPr>
    </w:sdtEndPr>
    <w:sdtContent>
      <w:p w:rsidR="00A66F2B" w:rsidRPr="00EB0617" w:rsidRDefault="00A66F2B">
        <w:pPr>
          <w:pStyle w:val="Header"/>
          <w:jc w:val="center"/>
          <w:rPr>
            <w:rFonts w:ascii="Times New Roman" w:hAnsi="Times New Roman" w:cs="Times New Roman"/>
            <w:sz w:val="24"/>
            <w:szCs w:val="24"/>
          </w:rPr>
        </w:pPr>
        <w:r w:rsidRPr="00EB0617">
          <w:rPr>
            <w:rFonts w:ascii="Times New Roman" w:hAnsi="Times New Roman" w:cs="Times New Roman"/>
            <w:sz w:val="24"/>
            <w:szCs w:val="24"/>
          </w:rPr>
          <w:fldChar w:fldCharType="begin"/>
        </w:r>
        <w:r w:rsidRPr="00EB0617">
          <w:rPr>
            <w:rFonts w:ascii="Times New Roman" w:hAnsi="Times New Roman" w:cs="Times New Roman"/>
            <w:sz w:val="24"/>
            <w:szCs w:val="24"/>
          </w:rPr>
          <w:instrText xml:space="preserve"> PAGE   \* MERGEFORMAT </w:instrText>
        </w:r>
        <w:r w:rsidRPr="00EB0617">
          <w:rPr>
            <w:rFonts w:ascii="Times New Roman" w:hAnsi="Times New Roman" w:cs="Times New Roman"/>
            <w:sz w:val="24"/>
            <w:szCs w:val="24"/>
          </w:rPr>
          <w:fldChar w:fldCharType="separate"/>
        </w:r>
        <w:r w:rsidRPr="00EB0617">
          <w:rPr>
            <w:rFonts w:ascii="Times New Roman" w:hAnsi="Times New Roman" w:cs="Times New Roman"/>
            <w:noProof/>
            <w:sz w:val="24"/>
            <w:szCs w:val="24"/>
          </w:rPr>
          <w:t>2</w:t>
        </w:r>
        <w:r w:rsidRPr="00EB0617">
          <w:rPr>
            <w:rFonts w:ascii="Times New Roman" w:hAnsi="Times New Roman" w:cs="Times New Roman"/>
            <w:noProof/>
            <w:sz w:val="24"/>
            <w:szCs w:val="24"/>
          </w:rPr>
          <w:fldChar w:fldCharType="end"/>
        </w:r>
      </w:p>
    </w:sdtContent>
  </w:sdt>
  <w:p w:rsidR="00A66F2B" w:rsidRDefault="00A66F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B09EA"/>
    <w:multiLevelType w:val="hybridMultilevel"/>
    <w:tmpl w:val="EDBAAEB8"/>
    <w:lvl w:ilvl="0" w:tplc="3D0AFC0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C0227B"/>
    <w:multiLevelType w:val="hybridMultilevel"/>
    <w:tmpl w:val="F94C90F2"/>
    <w:lvl w:ilvl="0" w:tplc="EC389D4E">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03933"/>
    <w:multiLevelType w:val="hybridMultilevel"/>
    <w:tmpl w:val="414A4832"/>
    <w:lvl w:ilvl="0" w:tplc="F2EA8894">
      <w:start w:val="1"/>
      <w:numFmt w:val="decimal"/>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3" w15:restartNumberingAfterBreak="0">
    <w:nsid w:val="15F46478"/>
    <w:multiLevelType w:val="hybridMultilevel"/>
    <w:tmpl w:val="4628FDF0"/>
    <w:lvl w:ilvl="0" w:tplc="B0C61EE8">
      <w:start w:val="1"/>
      <w:numFmt w:val="decimal"/>
      <w:lvlText w:val="%1."/>
      <w:lvlJc w:val="center"/>
      <w:pPr>
        <w:ind w:left="387"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CF7FBA"/>
    <w:multiLevelType w:val="hybridMultilevel"/>
    <w:tmpl w:val="B87E6C46"/>
    <w:lvl w:ilvl="0" w:tplc="CFF805D6">
      <w:start w:val="1"/>
      <w:numFmt w:val="decimal"/>
      <w:lvlText w:val="%1."/>
      <w:lvlJc w:val="center"/>
      <w:pPr>
        <w:ind w:left="498"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473947"/>
    <w:multiLevelType w:val="hybridMultilevel"/>
    <w:tmpl w:val="4404D71A"/>
    <w:lvl w:ilvl="0" w:tplc="7E3EA9B0">
      <w:start w:val="1"/>
      <w:numFmt w:val="decimal"/>
      <w:lvlText w:val="%1."/>
      <w:lvlJc w:val="center"/>
      <w:pPr>
        <w:ind w:left="165"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01F54"/>
    <w:multiLevelType w:val="hybridMultilevel"/>
    <w:tmpl w:val="9E6892F6"/>
    <w:lvl w:ilvl="0" w:tplc="BCD6F6FA">
      <w:start w:val="1"/>
      <w:numFmt w:val="decimal"/>
      <w:lvlText w:val="%1."/>
      <w:lvlJc w:val="left"/>
      <w:pPr>
        <w:ind w:left="720" w:hanging="360"/>
      </w:pPr>
      <w:rPr>
        <w:rFonts w:asciiTheme="minorHAnsi" w:hAnsiTheme="minorHAnsi" w:cstheme="minorBidi" w:hint="default"/>
        <w:b w:val="0"/>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01777"/>
    <w:multiLevelType w:val="hybridMultilevel"/>
    <w:tmpl w:val="D56E5E24"/>
    <w:lvl w:ilvl="0" w:tplc="52806FEE">
      <w:start w:val="1"/>
      <w:numFmt w:val="decimal"/>
      <w:lvlText w:val="%1."/>
      <w:lvlJc w:val="center"/>
      <w:pPr>
        <w:ind w:left="276"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023552"/>
    <w:multiLevelType w:val="hybridMultilevel"/>
    <w:tmpl w:val="4704FB18"/>
    <w:lvl w:ilvl="0" w:tplc="2DBAAD50">
      <w:start w:val="1"/>
      <w:numFmt w:val="decimal"/>
      <w:lvlText w:val="(%1)"/>
      <w:lvlJc w:val="left"/>
      <w:pPr>
        <w:ind w:left="420" w:hanging="360"/>
      </w:pPr>
      <w:rPr>
        <w:rFonts w:cstheme="minorBidi"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9" w15:restartNumberingAfterBreak="0">
    <w:nsid w:val="4C1D2BC8"/>
    <w:multiLevelType w:val="hybridMultilevel"/>
    <w:tmpl w:val="AB241EAE"/>
    <w:lvl w:ilvl="0" w:tplc="09401DA4">
      <w:start w:val="1"/>
      <w:numFmt w:val="decimal"/>
      <w:lvlText w:val="%1."/>
      <w:lvlJc w:val="center"/>
      <w:pPr>
        <w:ind w:left="54"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492EA4"/>
    <w:multiLevelType w:val="hybridMultilevel"/>
    <w:tmpl w:val="117E92FE"/>
    <w:lvl w:ilvl="0" w:tplc="11E62430">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450715"/>
    <w:multiLevelType w:val="hybridMultilevel"/>
    <w:tmpl w:val="BD0E5584"/>
    <w:lvl w:ilvl="0" w:tplc="F6AE0A0C">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A4770"/>
    <w:multiLevelType w:val="hybridMultilevel"/>
    <w:tmpl w:val="5BDC8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18571C"/>
    <w:multiLevelType w:val="hybridMultilevel"/>
    <w:tmpl w:val="6E9A9F04"/>
    <w:lvl w:ilvl="0" w:tplc="7EBC6748">
      <w:start w:val="1"/>
      <w:numFmt w:val="decimal"/>
      <w:lvlText w:val="%1."/>
      <w:lvlJc w:val="center"/>
      <w:pPr>
        <w:ind w:left="609"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2E5814"/>
    <w:multiLevelType w:val="hybridMultilevel"/>
    <w:tmpl w:val="3FB21C96"/>
    <w:lvl w:ilvl="0" w:tplc="C2142A82">
      <w:start w:val="1"/>
      <w:numFmt w:val="decimal"/>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15" w15:restartNumberingAfterBreak="0">
    <w:nsid w:val="736257BC"/>
    <w:multiLevelType w:val="hybridMultilevel"/>
    <w:tmpl w:val="F66C1756"/>
    <w:lvl w:ilvl="0" w:tplc="6E984C28">
      <w:start w:val="1"/>
      <w:numFmt w:val="decimal"/>
      <w:lvlText w:val="(%1)"/>
      <w:lvlJc w:val="left"/>
      <w:pPr>
        <w:ind w:left="420" w:hanging="360"/>
      </w:pPr>
      <w:rPr>
        <w:rFonts w:cstheme="minorBidi"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abstractNum w:abstractNumId="16" w15:restartNumberingAfterBreak="0">
    <w:nsid w:val="7706004C"/>
    <w:multiLevelType w:val="hybridMultilevel"/>
    <w:tmpl w:val="AE66F5C8"/>
    <w:lvl w:ilvl="0" w:tplc="7904F6AC">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78202989"/>
    <w:multiLevelType w:val="hybridMultilevel"/>
    <w:tmpl w:val="8C0AE5FA"/>
    <w:lvl w:ilvl="0" w:tplc="AA0044BE">
      <w:start w:val="1"/>
      <w:numFmt w:val="decimal"/>
      <w:lvlText w:val="%1."/>
      <w:lvlJc w:val="center"/>
      <w:pPr>
        <w:ind w:left="54" w:hanging="3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2E60DF"/>
    <w:multiLevelType w:val="hybridMultilevel"/>
    <w:tmpl w:val="8CE0D538"/>
    <w:lvl w:ilvl="0" w:tplc="9FAE58C8">
      <w:start w:val="1"/>
      <w:numFmt w:val="decimal"/>
      <w:lvlText w:val="(%1)"/>
      <w:lvlJc w:val="left"/>
      <w:pPr>
        <w:ind w:left="420" w:hanging="360"/>
      </w:pPr>
      <w:rPr>
        <w:rFonts w:hint="default"/>
      </w:rPr>
    </w:lvl>
    <w:lvl w:ilvl="1" w:tplc="042A0019" w:tentative="1">
      <w:start w:val="1"/>
      <w:numFmt w:val="lowerLetter"/>
      <w:lvlText w:val="%2."/>
      <w:lvlJc w:val="left"/>
      <w:pPr>
        <w:ind w:left="1140" w:hanging="360"/>
      </w:pPr>
    </w:lvl>
    <w:lvl w:ilvl="2" w:tplc="042A001B" w:tentative="1">
      <w:start w:val="1"/>
      <w:numFmt w:val="lowerRoman"/>
      <w:lvlText w:val="%3."/>
      <w:lvlJc w:val="right"/>
      <w:pPr>
        <w:ind w:left="1860" w:hanging="180"/>
      </w:pPr>
    </w:lvl>
    <w:lvl w:ilvl="3" w:tplc="042A000F" w:tentative="1">
      <w:start w:val="1"/>
      <w:numFmt w:val="decimal"/>
      <w:lvlText w:val="%4."/>
      <w:lvlJc w:val="left"/>
      <w:pPr>
        <w:ind w:left="2580" w:hanging="360"/>
      </w:pPr>
    </w:lvl>
    <w:lvl w:ilvl="4" w:tplc="042A0019" w:tentative="1">
      <w:start w:val="1"/>
      <w:numFmt w:val="lowerLetter"/>
      <w:lvlText w:val="%5."/>
      <w:lvlJc w:val="left"/>
      <w:pPr>
        <w:ind w:left="3300" w:hanging="360"/>
      </w:pPr>
    </w:lvl>
    <w:lvl w:ilvl="5" w:tplc="042A001B" w:tentative="1">
      <w:start w:val="1"/>
      <w:numFmt w:val="lowerRoman"/>
      <w:lvlText w:val="%6."/>
      <w:lvlJc w:val="right"/>
      <w:pPr>
        <w:ind w:left="4020" w:hanging="180"/>
      </w:pPr>
    </w:lvl>
    <w:lvl w:ilvl="6" w:tplc="042A000F" w:tentative="1">
      <w:start w:val="1"/>
      <w:numFmt w:val="decimal"/>
      <w:lvlText w:val="%7."/>
      <w:lvlJc w:val="left"/>
      <w:pPr>
        <w:ind w:left="4740" w:hanging="360"/>
      </w:pPr>
    </w:lvl>
    <w:lvl w:ilvl="7" w:tplc="042A0019" w:tentative="1">
      <w:start w:val="1"/>
      <w:numFmt w:val="lowerLetter"/>
      <w:lvlText w:val="%8."/>
      <w:lvlJc w:val="left"/>
      <w:pPr>
        <w:ind w:left="5460" w:hanging="360"/>
      </w:pPr>
    </w:lvl>
    <w:lvl w:ilvl="8" w:tplc="042A001B" w:tentative="1">
      <w:start w:val="1"/>
      <w:numFmt w:val="lowerRoman"/>
      <w:lvlText w:val="%9."/>
      <w:lvlJc w:val="right"/>
      <w:pPr>
        <w:ind w:left="6180" w:hanging="180"/>
      </w:pPr>
    </w:lvl>
  </w:abstractNum>
  <w:num w:numId="1">
    <w:abstractNumId w:val="16"/>
  </w:num>
  <w:num w:numId="2">
    <w:abstractNumId w:val="0"/>
  </w:num>
  <w:num w:numId="3">
    <w:abstractNumId w:val="14"/>
  </w:num>
  <w:num w:numId="4">
    <w:abstractNumId w:val="8"/>
  </w:num>
  <w:num w:numId="5">
    <w:abstractNumId w:val="15"/>
  </w:num>
  <w:num w:numId="6">
    <w:abstractNumId w:val="2"/>
  </w:num>
  <w:num w:numId="7">
    <w:abstractNumId w:val="18"/>
  </w:num>
  <w:num w:numId="8">
    <w:abstractNumId w:val="12"/>
  </w:num>
  <w:num w:numId="9">
    <w:abstractNumId w:val="6"/>
  </w:num>
  <w:num w:numId="10">
    <w:abstractNumId w:val="13"/>
  </w:num>
  <w:num w:numId="11">
    <w:abstractNumId w:val="1"/>
  </w:num>
  <w:num w:numId="12">
    <w:abstractNumId w:val="4"/>
  </w:num>
  <w:num w:numId="13">
    <w:abstractNumId w:val="3"/>
  </w:num>
  <w:num w:numId="14">
    <w:abstractNumId w:val="7"/>
  </w:num>
  <w:num w:numId="15">
    <w:abstractNumId w:val="5"/>
  </w:num>
  <w:num w:numId="16">
    <w:abstractNumId w:val="9"/>
  </w:num>
  <w:num w:numId="17">
    <w:abstractNumId w:val="17"/>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94"/>
    <w:rsid w:val="0000256C"/>
    <w:rsid w:val="000027BF"/>
    <w:rsid w:val="0000391C"/>
    <w:rsid w:val="00005378"/>
    <w:rsid w:val="00011316"/>
    <w:rsid w:val="0001141B"/>
    <w:rsid w:val="000163E2"/>
    <w:rsid w:val="00021F5D"/>
    <w:rsid w:val="000319D8"/>
    <w:rsid w:val="00033213"/>
    <w:rsid w:val="00035AC8"/>
    <w:rsid w:val="0003661E"/>
    <w:rsid w:val="00040F05"/>
    <w:rsid w:val="000413E1"/>
    <w:rsid w:val="00041B58"/>
    <w:rsid w:val="000468A2"/>
    <w:rsid w:val="000569AD"/>
    <w:rsid w:val="0006270E"/>
    <w:rsid w:val="00067B20"/>
    <w:rsid w:val="00071D85"/>
    <w:rsid w:val="00071F8E"/>
    <w:rsid w:val="0007321D"/>
    <w:rsid w:val="000738DC"/>
    <w:rsid w:val="000765C4"/>
    <w:rsid w:val="000766CC"/>
    <w:rsid w:val="00077E26"/>
    <w:rsid w:val="00080B19"/>
    <w:rsid w:val="000839A9"/>
    <w:rsid w:val="0008466A"/>
    <w:rsid w:val="0008664C"/>
    <w:rsid w:val="00093357"/>
    <w:rsid w:val="00093619"/>
    <w:rsid w:val="0009668F"/>
    <w:rsid w:val="000B06AB"/>
    <w:rsid w:val="000B06F2"/>
    <w:rsid w:val="000B4AAE"/>
    <w:rsid w:val="000B4E17"/>
    <w:rsid w:val="000B7565"/>
    <w:rsid w:val="000C1209"/>
    <w:rsid w:val="000C2319"/>
    <w:rsid w:val="000C3AC6"/>
    <w:rsid w:val="000C3FBC"/>
    <w:rsid w:val="000C4A0B"/>
    <w:rsid w:val="000C63A3"/>
    <w:rsid w:val="000C7031"/>
    <w:rsid w:val="000D2513"/>
    <w:rsid w:val="000D2786"/>
    <w:rsid w:val="000D6890"/>
    <w:rsid w:val="000E47CC"/>
    <w:rsid w:val="000E4EAD"/>
    <w:rsid w:val="000E55E6"/>
    <w:rsid w:val="000E6CE5"/>
    <w:rsid w:val="000F14EB"/>
    <w:rsid w:val="000F5EA1"/>
    <w:rsid w:val="000F7CDD"/>
    <w:rsid w:val="001108F9"/>
    <w:rsid w:val="00120AD5"/>
    <w:rsid w:val="0012232C"/>
    <w:rsid w:val="0012262D"/>
    <w:rsid w:val="00122A01"/>
    <w:rsid w:val="0012428A"/>
    <w:rsid w:val="00125B6A"/>
    <w:rsid w:val="00130CE8"/>
    <w:rsid w:val="0013337B"/>
    <w:rsid w:val="001373E5"/>
    <w:rsid w:val="00142711"/>
    <w:rsid w:val="001449BC"/>
    <w:rsid w:val="00146502"/>
    <w:rsid w:val="001471A7"/>
    <w:rsid w:val="0015035D"/>
    <w:rsid w:val="001540A3"/>
    <w:rsid w:val="00155244"/>
    <w:rsid w:val="001624E8"/>
    <w:rsid w:val="0016277A"/>
    <w:rsid w:val="00164694"/>
    <w:rsid w:val="001648EE"/>
    <w:rsid w:val="00171950"/>
    <w:rsid w:val="00184289"/>
    <w:rsid w:val="00193BEF"/>
    <w:rsid w:val="00194F51"/>
    <w:rsid w:val="00197D66"/>
    <w:rsid w:val="001A08E5"/>
    <w:rsid w:val="001A2789"/>
    <w:rsid w:val="001A6AA1"/>
    <w:rsid w:val="001A784C"/>
    <w:rsid w:val="001B11CD"/>
    <w:rsid w:val="001B31B3"/>
    <w:rsid w:val="001B4249"/>
    <w:rsid w:val="001B4CC8"/>
    <w:rsid w:val="001B62D1"/>
    <w:rsid w:val="001B7C9C"/>
    <w:rsid w:val="001C05E3"/>
    <w:rsid w:val="001C2841"/>
    <w:rsid w:val="001C452E"/>
    <w:rsid w:val="001C7A52"/>
    <w:rsid w:val="001D0877"/>
    <w:rsid w:val="001D2BB6"/>
    <w:rsid w:val="001E2642"/>
    <w:rsid w:val="001E73C4"/>
    <w:rsid w:val="001F1F65"/>
    <w:rsid w:val="001F3405"/>
    <w:rsid w:val="001F502B"/>
    <w:rsid w:val="001F6827"/>
    <w:rsid w:val="00202B54"/>
    <w:rsid w:val="002041F7"/>
    <w:rsid w:val="00211F62"/>
    <w:rsid w:val="0021237D"/>
    <w:rsid w:val="00212805"/>
    <w:rsid w:val="00213AD0"/>
    <w:rsid w:val="00214870"/>
    <w:rsid w:val="00214DF2"/>
    <w:rsid w:val="0021647B"/>
    <w:rsid w:val="00216EBC"/>
    <w:rsid w:val="002338C0"/>
    <w:rsid w:val="00234422"/>
    <w:rsid w:val="002362A0"/>
    <w:rsid w:val="00236BE9"/>
    <w:rsid w:val="00241196"/>
    <w:rsid w:val="002423B0"/>
    <w:rsid w:val="0024575B"/>
    <w:rsid w:val="00247782"/>
    <w:rsid w:val="0025047B"/>
    <w:rsid w:val="00254552"/>
    <w:rsid w:val="0025493B"/>
    <w:rsid w:val="0025655C"/>
    <w:rsid w:val="00261530"/>
    <w:rsid w:val="00265793"/>
    <w:rsid w:val="00267769"/>
    <w:rsid w:val="00271C3F"/>
    <w:rsid w:val="00277466"/>
    <w:rsid w:val="0028027C"/>
    <w:rsid w:val="002830DF"/>
    <w:rsid w:val="0028364D"/>
    <w:rsid w:val="0028532D"/>
    <w:rsid w:val="00291EF6"/>
    <w:rsid w:val="00292750"/>
    <w:rsid w:val="002932C4"/>
    <w:rsid w:val="002A01AA"/>
    <w:rsid w:val="002A0761"/>
    <w:rsid w:val="002A3A7C"/>
    <w:rsid w:val="002A490B"/>
    <w:rsid w:val="002A5477"/>
    <w:rsid w:val="002B02C5"/>
    <w:rsid w:val="002B3924"/>
    <w:rsid w:val="002B4463"/>
    <w:rsid w:val="002B4936"/>
    <w:rsid w:val="002B5E23"/>
    <w:rsid w:val="002C3E2C"/>
    <w:rsid w:val="002C5286"/>
    <w:rsid w:val="002D2F3F"/>
    <w:rsid w:val="002E24A7"/>
    <w:rsid w:val="002E5192"/>
    <w:rsid w:val="002E614E"/>
    <w:rsid w:val="002E7AD6"/>
    <w:rsid w:val="002F1338"/>
    <w:rsid w:val="002F1527"/>
    <w:rsid w:val="002F4C3B"/>
    <w:rsid w:val="002F5C86"/>
    <w:rsid w:val="002F6D44"/>
    <w:rsid w:val="00300DD3"/>
    <w:rsid w:val="0030140E"/>
    <w:rsid w:val="00310EF2"/>
    <w:rsid w:val="00313F08"/>
    <w:rsid w:val="00316064"/>
    <w:rsid w:val="003163A4"/>
    <w:rsid w:val="00323D6C"/>
    <w:rsid w:val="00325F2E"/>
    <w:rsid w:val="0032639F"/>
    <w:rsid w:val="00330C79"/>
    <w:rsid w:val="00331050"/>
    <w:rsid w:val="0033131F"/>
    <w:rsid w:val="003354B4"/>
    <w:rsid w:val="003407BE"/>
    <w:rsid w:val="00343AB9"/>
    <w:rsid w:val="00353925"/>
    <w:rsid w:val="00355310"/>
    <w:rsid w:val="003578BA"/>
    <w:rsid w:val="003659BD"/>
    <w:rsid w:val="00367BDB"/>
    <w:rsid w:val="00367E4B"/>
    <w:rsid w:val="00371356"/>
    <w:rsid w:val="00371F85"/>
    <w:rsid w:val="003800A9"/>
    <w:rsid w:val="003804B0"/>
    <w:rsid w:val="00380969"/>
    <w:rsid w:val="0038150B"/>
    <w:rsid w:val="00381C58"/>
    <w:rsid w:val="00381CA4"/>
    <w:rsid w:val="0038512C"/>
    <w:rsid w:val="00397358"/>
    <w:rsid w:val="003A5224"/>
    <w:rsid w:val="003A5B27"/>
    <w:rsid w:val="003A5DF7"/>
    <w:rsid w:val="003A635A"/>
    <w:rsid w:val="003B083E"/>
    <w:rsid w:val="003B1466"/>
    <w:rsid w:val="003B21B9"/>
    <w:rsid w:val="003B444B"/>
    <w:rsid w:val="003B6847"/>
    <w:rsid w:val="003B7EAE"/>
    <w:rsid w:val="003C0153"/>
    <w:rsid w:val="003C3FEC"/>
    <w:rsid w:val="003D1121"/>
    <w:rsid w:val="003D2B9F"/>
    <w:rsid w:val="003D32A6"/>
    <w:rsid w:val="003D66D4"/>
    <w:rsid w:val="003E1613"/>
    <w:rsid w:val="003E376A"/>
    <w:rsid w:val="003E518D"/>
    <w:rsid w:val="003F127B"/>
    <w:rsid w:val="003F3282"/>
    <w:rsid w:val="00400F8D"/>
    <w:rsid w:val="00410815"/>
    <w:rsid w:val="0041178D"/>
    <w:rsid w:val="004128EF"/>
    <w:rsid w:val="0042060D"/>
    <w:rsid w:val="004279E9"/>
    <w:rsid w:val="00437154"/>
    <w:rsid w:val="00443425"/>
    <w:rsid w:val="00443601"/>
    <w:rsid w:val="00443A00"/>
    <w:rsid w:val="00444660"/>
    <w:rsid w:val="004456E6"/>
    <w:rsid w:val="004512CD"/>
    <w:rsid w:val="00453091"/>
    <w:rsid w:val="0045666F"/>
    <w:rsid w:val="00460645"/>
    <w:rsid w:val="004636B9"/>
    <w:rsid w:val="00465532"/>
    <w:rsid w:val="0046659E"/>
    <w:rsid w:val="00470417"/>
    <w:rsid w:val="0047208E"/>
    <w:rsid w:val="004730CC"/>
    <w:rsid w:val="00473D59"/>
    <w:rsid w:val="004915B0"/>
    <w:rsid w:val="00495073"/>
    <w:rsid w:val="00495A98"/>
    <w:rsid w:val="004A29EF"/>
    <w:rsid w:val="004A3DE8"/>
    <w:rsid w:val="004A3EA1"/>
    <w:rsid w:val="004A4CED"/>
    <w:rsid w:val="004A5307"/>
    <w:rsid w:val="004A5CA5"/>
    <w:rsid w:val="004B2DDD"/>
    <w:rsid w:val="004B676D"/>
    <w:rsid w:val="004B6B4A"/>
    <w:rsid w:val="004B7652"/>
    <w:rsid w:val="004D40A9"/>
    <w:rsid w:val="004D49C4"/>
    <w:rsid w:val="004D5DC9"/>
    <w:rsid w:val="004D5E03"/>
    <w:rsid w:val="004D6EF6"/>
    <w:rsid w:val="004E14DE"/>
    <w:rsid w:val="004F2235"/>
    <w:rsid w:val="004F41B6"/>
    <w:rsid w:val="005019C6"/>
    <w:rsid w:val="00513618"/>
    <w:rsid w:val="0051616C"/>
    <w:rsid w:val="0053392B"/>
    <w:rsid w:val="005345DA"/>
    <w:rsid w:val="00546029"/>
    <w:rsid w:val="005531CA"/>
    <w:rsid w:val="00553249"/>
    <w:rsid w:val="00555558"/>
    <w:rsid w:val="005600E3"/>
    <w:rsid w:val="005660B5"/>
    <w:rsid w:val="00573EBF"/>
    <w:rsid w:val="005746F6"/>
    <w:rsid w:val="00574800"/>
    <w:rsid w:val="005808C4"/>
    <w:rsid w:val="005816F3"/>
    <w:rsid w:val="005903E7"/>
    <w:rsid w:val="0059066F"/>
    <w:rsid w:val="00590CFF"/>
    <w:rsid w:val="0059261E"/>
    <w:rsid w:val="00596A9F"/>
    <w:rsid w:val="005A0FDE"/>
    <w:rsid w:val="005A2BF6"/>
    <w:rsid w:val="005A4339"/>
    <w:rsid w:val="005A663A"/>
    <w:rsid w:val="005A7735"/>
    <w:rsid w:val="005C08D1"/>
    <w:rsid w:val="005C18D7"/>
    <w:rsid w:val="005C2414"/>
    <w:rsid w:val="005C439A"/>
    <w:rsid w:val="005C5E1C"/>
    <w:rsid w:val="005C7482"/>
    <w:rsid w:val="005D3060"/>
    <w:rsid w:val="005D61EA"/>
    <w:rsid w:val="005E2D35"/>
    <w:rsid w:val="005E5956"/>
    <w:rsid w:val="005F140C"/>
    <w:rsid w:val="005F198C"/>
    <w:rsid w:val="005F28C5"/>
    <w:rsid w:val="005F5BFD"/>
    <w:rsid w:val="005F62ED"/>
    <w:rsid w:val="005F7B1C"/>
    <w:rsid w:val="005F7C82"/>
    <w:rsid w:val="00603470"/>
    <w:rsid w:val="00605CB9"/>
    <w:rsid w:val="006120CA"/>
    <w:rsid w:val="00613656"/>
    <w:rsid w:val="00614018"/>
    <w:rsid w:val="00620543"/>
    <w:rsid w:val="00620975"/>
    <w:rsid w:val="006236BD"/>
    <w:rsid w:val="00623F2D"/>
    <w:rsid w:val="00624CE9"/>
    <w:rsid w:val="00625654"/>
    <w:rsid w:val="00634CE7"/>
    <w:rsid w:val="00642D28"/>
    <w:rsid w:val="006444DD"/>
    <w:rsid w:val="00647226"/>
    <w:rsid w:val="006501AC"/>
    <w:rsid w:val="006540EB"/>
    <w:rsid w:val="00654A58"/>
    <w:rsid w:val="006566F1"/>
    <w:rsid w:val="00656B34"/>
    <w:rsid w:val="00671168"/>
    <w:rsid w:val="00671456"/>
    <w:rsid w:val="00672AAA"/>
    <w:rsid w:val="0067704C"/>
    <w:rsid w:val="00683352"/>
    <w:rsid w:val="00683D4E"/>
    <w:rsid w:val="00693A7D"/>
    <w:rsid w:val="006959A4"/>
    <w:rsid w:val="006A2FB8"/>
    <w:rsid w:val="006A3612"/>
    <w:rsid w:val="006A4175"/>
    <w:rsid w:val="006B1738"/>
    <w:rsid w:val="006B3CC2"/>
    <w:rsid w:val="006B6329"/>
    <w:rsid w:val="006C04B3"/>
    <w:rsid w:val="006C359D"/>
    <w:rsid w:val="006C5CA4"/>
    <w:rsid w:val="006D20F1"/>
    <w:rsid w:val="006D339B"/>
    <w:rsid w:val="006D63DD"/>
    <w:rsid w:val="006E0DAF"/>
    <w:rsid w:val="006E5ED6"/>
    <w:rsid w:val="006E733B"/>
    <w:rsid w:val="006E7532"/>
    <w:rsid w:val="00704975"/>
    <w:rsid w:val="00706365"/>
    <w:rsid w:val="0070636B"/>
    <w:rsid w:val="00711A77"/>
    <w:rsid w:val="00712A89"/>
    <w:rsid w:val="00720A66"/>
    <w:rsid w:val="00721C75"/>
    <w:rsid w:val="00721E61"/>
    <w:rsid w:val="0072248A"/>
    <w:rsid w:val="00724E82"/>
    <w:rsid w:val="00725860"/>
    <w:rsid w:val="00730025"/>
    <w:rsid w:val="007314DF"/>
    <w:rsid w:val="007330CC"/>
    <w:rsid w:val="00733F07"/>
    <w:rsid w:val="0073674B"/>
    <w:rsid w:val="00737B2D"/>
    <w:rsid w:val="00740A94"/>
    <w:rsid w:val="007436E5"/>
    <w:rsid w:val="00743897"/>
    <w:rsid w:val="0074431F"/>
    <w:rsid w:val="00756E8B"/>
    <w:rsid w:val="007607F5"/>
    <w:rsid w:val="00763F22"/>
    <w:rsid w:val="0076414A"/>
    <w:rsid w:val="00770AAE"/>
    <w:rsid w:val="007729EF"/>
    <w:rsid w:val="0077315C"/>
    <w:rsid w:val="00774634"/>
    <w:rsid w:val="00775C4E"/>
    <w:rsid w:val="00776570"/>
    <w:rsid w:val="00782813"/>
    <w:rsid w:val="007866B3"/>
    <w:rsid w:val="00786845"/>
    <w:rsid w:val="007871DF"/>
    <w:rsid w:val="00787FD2"/>
    <w:rsid w:val="00790C32"/>
    <w:rsid w:val="0079123B"/>
    <w:rsid w:val="00791B72"/>
    <w:rsid w:val="007926E7"/>
    <w:rsid w:val="00794144"/>
    <w:rsid w:val="00795757"/>
    <w:rsid w:val="00797A34"/>
    <w:rsid w:val="007A6AD8"/>
    <w:rsid w:val="007B2FD6"/>
    <w:rsid w:val="007C008A"/>
    <w:rsid w:val="007C1DE9"/>
    <w:rsid w:val="007C3FD4"/>
    <w:rsid w:val="007C5B76"/>
    <w:rsid w:val="007C6B1A"/>
    <w:rsid w:val="007D0E51"/>
    <w:rsid w:val="007E32F8"/>
    <w:rsid w:val="007E4388"/>
    <w:rsid w:val="007E6C88"/>
    <w:rsid w:val="007F0D2E"/>
    <w:rsid w:val="007F13D1"/>
    <w:rsid w:val="007F2D68"/>
    <w:rsid w:val="007F31EB"/>
    <w:rsid w:val="007F3ECF"/>
    <w:rsid w:val="007F43BC"/>
    <w:rsid w:val="007F4A2F"/>
    <w:rsid w:val="00800FEA"/>
    <w:rsid w:val="00804CD7"/>
    <w:rsid w:val="00805C63"/>
    <w:rsid w:val="008061C7"/>
    <w:rsid w:val="00806570"/>
    <w:rsid w:val="00810831"/>
    <w:rsid w:val="00810FC8"/>
    <w:rsid w:val="0081276B"/>
    <w:rsid w:val="00815A51"/>
    <w:rsid w:val="00815E0A"/>
    <w:rsid w:val="0082128D"/>
    <w:rsid w:val="00832671"/>
    <w:rsid w:val="00835A44"/>
    <w:rsid w:val="008411B2"/>
    <w:rsid w:val="00842CC2"/>
    <w:rsid w:val="008434F9"/>
    <w:rsid w:val="0084413E"/>
    <w:rsid w:val="00844B77"/>
    <w:rsid w:val="00850433"/>
    <w:rsid w:val="0085195A"/>
    <w:rsid w:val="00855548"/>
    <w:rsid w:val="008564DE"/>
    <w:rsid w:val="00860C2C"/>
    <w:rsid w:val="008633E8"/>
    <w:rsid w:val="008646A9"/>
    <w:rsid w:val="00865339"/>
    <w:rsid w:val="0086550A"/>
    <w:rsid w:val="00870F38"/>
    <w:rsid w:val="008720D3"/>
    <w:rsid w:val="0087325D"/>
    <w:rsid w:val="00881103"/>
    <w:rsid w:val="00886713"/>
    <w:rsid w:val="00886884"/>
    <w:rsid w:val="00887A62"/>
    <w:rsid w:val="0089090C"/>
    <w:rsid w:val="008938FB"/>
    <w:rsid w:val="008A0AA4"/>
    <w:rsid w:val="008A11EF"/>
    <w:rsid w:val="008A1703"/>
    <w:rsid w:val="008A2981"/>
    <w:rsid w:val="008A511C"/>
    <w:rsid w:val="008A68BF"/>
    <w:rsid w:val="008A6C8C"/>
    <w:rsid w:val="008B0519"/>
    <w:rsid w:val="008B095E"/>
    <w:rsid w:val="008C265C"/>
    <w:rsid w:val="008C766C"/>
    <w:rsid w:val="008D014F"/>
    <w:rsid w:val="008D41B7"/>
    <w:rsid w:val="008D5CE2"/>
    <w:rsid w:val="008D6A0B"/>
    <w:rsid w:val="008E2BAD"/>
    <w:rsid w:val="008E4DDE"/>
    <w:rsid w:val="008E4E70"/>
    <w:rsid w:val="008E53D0"/>
    <w:rsid w:val="008F498B"/>
    <w:rsid w:val="008F4B0F"/>
    <w:rsid w:val="008F7F30"/>
    <w:rsid w:val="00902B0D"/>
    <w:rsid w:val="00902C4E"/>
    <w:rsid w:val="0090334B"/>
    <w:rsid w:val="00905332"/>
    <w:rsid w:val="00905765"/>
    <w:rsid w:val="00906305"/>
    <w:rsid w:val="009068E8"/>
    <w:rsid w:val="009072B4"/>
    <w:rsid w:val="00913016"/>
    <w:rsid w:val="00914DE2"/>
    <w:rsid w:val="009157D2"/>
    <w:rsid w:val="00917602"/>
    <w:rsid w:val="00917E2B"/>
    <w:rsid w:val="00920481"/>
    <w:rsid w:val="00922489"/>
    <w:rsid w:val="00923DCC"/>
    <w:rsid w:val="00923F06"/>
    <w:rsid w:val="00933781"/>
    <w:rsid w:val="00935EBD"/>
    <w:rsid w:val="0094555D"/>
    <w:rsid w:val="00950512"/>
    <w:rsid w:val="009530A1"/>
    <w:rsid w:val="00955879"/>
    <w:rsid w:val="00956963"/>
    <w:rsid w:val="00956C72"/>
    <w:rsid w:val="009572D1"/>
    <w:rsid w:val="009577E1"/>
    <w:rsid w:val="00961701"/>
    <w:rsid w:val="009710C4"/>
    <w:rsid w:val="009742EF"/>
    <w:rsid w:val="00974BED"/>
    <w:rsid w:val="00977F58"/>
    <w:rsid w:val="00987CF0"/>
    <w:rsid w:val="009920C8"/>
    <w:rsid w:val="0099442D"/>
    <w:rsid w:val="0099519B"/>
    <w:rsid w:val="009A19DE"/>
    <w:rsid w:val="009A5E4F"/>
    <w:rsid w:val="009A7ACC"/>
    <w:rsid w:val="009B0D3F"/>
    <w:rsid w:val="009B1441"/>
    <w:rsid w:val="009C2A4D"/>
    <w:rsid w:val="009C3EB6"/>
    <w:rsid w:val="009D2250"/>
    <w:rsid w:val="009D7C31"/>
    <w:rsid w:val="009E2387"/>
    <w:rsid w:val="009E5A7F"/>
    <w:rsid w:val="009E6E2E"/>
    <w:rsid w:val="009F1442"/>
    <w:rsid w:val="009F4C1A"/>
    <w:rsid w:val="009F554C"/>
    <w:rsid w:val="009F6241"/>
    <w:rsid w:val="009F7C8E"/>
    <w:rsid w:val="00A0712D"/>
    <w:rsid w:val="00A0736C"/>
    <w:rsid w:val="00A140FB"/>
    <w:rsid w:val="00A16AA2"/>
    <w:rsid w:val="00A20EB7"/>
    <w:rsid w:val="00A23A8C"/>
    <w:rsid w:val="00A2455B"/>
    <w:rsid w:val="00A27FFD"/>
    <w:rsid w:val="00A3004B"/>
    <w:rsid w:val="00A33CB2"/>
    <w:rsid w:val="00A35886"/>
    <w:rsid w:val="00A362A0"/>
    <w:rsid w:val="00A363EB"/>
    <w:rsid w:val="00A36AA6"/>
    <w:rsid w:val="00A36D86"/>
    <w:rsid w:val="00A37AFE"/>
    <w:rsid w:val="00A37D5F"/>
    <w:rsid w:val="00A4299B"/>
    <w:rsid w:val="00A43874"/>
    <w:rsid w:val="00A465E7"/>
    <w:rsid w:val="00A532DA"/>
    <w:rsid w:val="00A538D1"/>
    <w:rsid w:val="00A56A7C"/>
    <w:rsid w:val="00A63C37"/>
    <w:rsid w:val="00A66F2B"/>
    <w:rsid w:val="00A6783C"/>
    <w:rsid w:val="00A70074"/>
    <w:rsid w:val="00A70C62"/>
    <w:rsid w:val="00A722DC"/>
    <w:rsid w:val="00A826F8"/>
    <w:rsid w:val="00A84F2D"/>
    <w:rsid w:val="00A84F44"/>
    <w:rsid w:val="00A91CAD"/>
    <w:rsid w:val="00A922A5"/>
    <w:rsid w:val="00A93D52"/>
    <w:rsid w:val="00A94507"/>
    <w:rsid w:val="00A960E6"/>
    <w:rsid w:val="00AA5581"/>
    <w:rsid w:val="00AB60E5"/>
    <w:rsid w:val="00AC0347"/>
    <w:rsid w:val="00AC27FE"/>
    <w:rsid w:val="00AC3653"/>
    <w:rsid w:val="00AD3F05"/>
    <w:rsid w:val="00AD3FBC"/>
    <w:rsid w:val="00AD457D"/>
    <w:rsid w:val="00AE0CDC"/>
    <w:rsid w:val="00AE3DDC"/>
    <w:rsid w:val="00AE73F0"/>
    <w:rsid w:val="00AE7B97"/>
    <w:rsid w:val="00AE7C93"/>
    <w:rsid w:val="00AF33DC"/>
    <w:rsid w:val="00AF5FB4"/>
    <w:rsid w:val="00B02218"/>
    <w:rsid w:val="00B03D24"/>
    <w:rsid w:val="00B20EDA"/>
    <w:rsid w:val="00B30EC2"/>
    <w:rsid w:val="00B319DA"/>
    <w:rsid w:val="00B33594"/>
    <w:rsid w:val="00B33703"/>
    <w:rsid w:val="00B35A83"/>
    <w:rsid w:val="00B369D6"/>
    <w:rsid w:val="00B36D86"/>
    <w:rsid w:val="00B405D5"/>
    <w:rsid w:val="00B41ABA"/>
    <w:rsid w:val="00B42915"/>
    <w:rsid w:val="00B448A6"/>
    <w:rsid w:val="00B550BF"/>
    <w:rsid w:val="00B5577E"/>
    <w:rsid w:val="00B6121B"/>
    <w:rsid w:val="00B63EB7"/>
    <w:rsid w:val="00B649A0"/>
    <w:rsid w:val="00B70959"/>
    <w:rsid w:val="00B7758A"/>
    <w:rsid w:val="00B8067C"/>
    <w:rsid w:val="00B81DEF"/>
    <w:rsid w:val="00B90B1E"/>
    <w:rsid w:val="00BA02B5"/>
    <w:rsid w:val="00BA05CD"/>
    <w:rsid w:val="00BA2485"/>
    <w:rsid w:val="00BA6CCE"/>
    <w:rsid w:val="00BA7C42"/>
    <w:rsid w:val="00BB5F74"/>
    <w:rsid w:val="00BC6B4E"/>
    <w:rsid w:val="00BD099A"/>
    <w:rsid w:val="00BD194B"/>
    <w:rsid w:val="00BD2DB6"/>
    <w:rsid w:val="00BD500D"/>
    <w:rsid w:val="00BE7B74"/>
    <w:rsid w:val="00BF69B9"/>
    <w:rsid w:val="00C039DD"/>
    <w:rsid w:val="00C0748E"/>
    <w:rsid w:val="00C21FB1"/>
    <w:rsid w:val="00C30828"/>
    <w:rsid w:val="00C3420C"/>
    <w:rsid w:val="00C34957"/>
    <w:rsid w:val="00C350C1"/>
    <w:rsid w:val="00C37344"/>
    <w:rsid w:val="00C401FF"/>
    <w:rsid w:val="00C43644"/>
    <w:rsid w:val="00C4425C"/>
    <w:rsid w:val="00C459DA"/>
    <w:rsid w:val="00C47133"/>
    <w:rsid w:val="00C50B6F"/>
    <w:rsid w:val="00C51478"/>
    <w:rsid w:val="00C5663D"/>
    <w:rsid w:val="00C626A3"/>
    <w:rsid w:val="00C63A28"/>
    <w:rsid w:val="00C63EB5"/>
    <w:rsid w:val="00C65D8F"/>
    <w:rsid w:val="00C67737"/>
    <w:rsid w:val="00C707CB"/>
    <w:rsid w:val="00C71A21"/>
    <w:rsid w:val="00C76F6A"/>
    <w:rsid w:val="00C77163"/>
    <w:rsid w:val="00C7795E"/>
    <w:rsid w:val="00C81816"/>
    <w:rsid w:val="00C825C5"/>
    <w:rsid w:val="00C8505D"/>
    <w:rsid w:val="00C852D5"/>
    <w:rsid w:val="00C858D0"/>
    <w:rsid w:val="00C979E4"/>
    <w:rsid w:val="00CA4334"/>
    <w:rsid w:val="00CA599E"/>
    <w:rsid w:val="00CA672A"/>
    <w:rsid w:val="00CB01B4"/>
    <w:rsid w:val="00CB03A2"/>
    <w:rsid w:val="00CB6C94"/>
    <w:rsid w:val="00CC076B"/>
    <w:rsid w:val="00CC0E4E"/>
    <w:rsid w:val="00CC3AC6"/>
    <w:rsid w:val="00CC5870"/>
    <w:rsid w:val="00CD44EF"/>
    <w:rsid w:val="00CD6201"/>
    <w:rsid w:val="00CD70B0"/>
    <w:rsid w:val="00CD76BC"/>
    <w:rsid w:val="00CE3CE3"/>
    <w:rsid w:val="00CF2B9C"/>
    <w:rsid w:val="00D0098A"/>
    <w:rsid w:val="00D058DC"/>
    <w:rsid w:val="00D05BB4"/>
    <w:rsid w:val="00D07B2C"/>
    <w:rsid w:val="00D13274"/>
    <w:rsid w:val="00D14769"/>
    <w:rsid w:val="00D15D38"/>
    <w:rsid w:val="00D22F49"/>
    <w:rsid w:val="00D23C80"/>
    <w:rsid w:val="00D26FFC"/>
    <w:rsid w:val="00D27F79"/>
    <w:rsid w:val="00D36DC2"/>
    <w:rsid w:val="00D372DA"/>
    <w:rsid w:val="00D40DAE"/>
    <w:rsid w:val="00D44D1F"/>
    <w:rsid w:val="00D451DE"/>
    <w:rsid w:val="00D51A78"/>
    <w:rsid w:val="00D610EB"/>
    <w:rsid w:val="00D640E9"/>
    <w:rsid w:val="00D65C1D"/>
    <w:rsid w:val="00D80301"/>
    <w:rsid w:val="00D8126A"/>
    <w:rsid w:val="00D81998"/>
    <w:rsid w:val="00D82967"/>
    <w:rsid w:val="00D85167"/>
    <w:rsid w:val="00D90D3E"/>
    <w:rsid w:val="00D92144"/>
    <w:rsid w:val="00D93B08"/>
    <w:rsid w:val="00D949E8"/>
    <w:rsid w:val="00D9524C"/>
    <w:rsid w:val="00DA1036"/>
    <w:rsid w:val="00DA18DF"/>
    <w:rsid w:val="00DA3152"/>
    <w:rsid w:val="00DA4551"/>
    <w:rsid w:val="00DB16C1"/>
    <w:rsid w:val="00DB361E"/>
    <w:rsid w:val="00DB3DD4"/>
    <w:rsid w:val="00DB65D9"/>
    <w:rsid w:val="00DB67B5"/>
    <w:rsid w:val="00DB7FE6"/>
    <w:rsid w:val="00DC2FB6"/>
    <w:rsid w:val="00DC3EC2"/>
    <w:rsid w:val="00DC632A"/>
    <w:rsid w:val="00DC67BE"/>
    <w:rsid w:val="00DD0CA3"/>
    <w:rsid w:val="00DD2B0C"/>
    <w:rsid w:val="00DD2F08"/>
    <w:rsid w:val="00DE1069"/>
    <w:rsid w:val="00DE3FB2"/>
    <w:rsid w:val="00DE7A50"/>
    <w:rsid w:val="00DF07FF"/>
    <w:rsid w:val="00DF25BF"/>
    <w:rsid w:val="00DF44D7"/>
    <w:rsid w:val="00DF572F"/>
    <w:rsid w:val="00DF6598"/>
    <w:rsid w:val="00E0090C"/>
    <w:rsid w:val="00E011F3"/>
    <w:rsid w:val="00E03975"/>
    <w:rsid w:val="00E03C12"/>
    <w:rsid w:val="00E05615"/>
    <w:rsid w:val="00E107BF"/>
    <w:rsid w:val="00E12A34"/>
    <w:rsid w:val="00E13A8B"/>
    <w:rsid w:val="00E15449"/>
    <w:rsid w:val="00E20141"/>
    <w:rsid w:val="00E22783"/>
    <w:rsid w:val="00E25005"/>
    <w:rsid w:val="00E309B6"/>
    <w:rsid w:val="00E31728"/>
    <w:rsid w:val="00E3249C"/>
    <w:rsid w:val="00E33EBF"/>
    <w:rsid w:val="00E349D5"/>
    <w:rsid w:val="00E366C2"/>
    <w:rsid w:val="00E414D6"/>
    <w:rsid w:val="00E456D8"/>
    <w:rsid w:val="00E50DED"/>
    <w:rsid w:val="00E52645"/>
    <w:rsid w:val="00E53825"/>
    <w:rsid w:val="00E55128"/>
    <w:rsid w:val="00E56EF8"/>
    <w:rsid w:val="00E64B44"/>
    <w:rsid w:val="00E65F21"/>
    <w:rsid w:val="00E66757"/>
    <w:rsid w:val="00E730CE"/>
    <w:rsid w:val="00E757E4"/>
    <w:rsid w:val="00E76272"/>
    <w:rsid w:val="00E84E41"/>
    <w:rsid w:val="00E86E23"/>
    <w:rsid w:val="00E8707F"/>
    <w:rsid w:val="00E87D8B"/>
    <w:rsid w:val="00E9592A"/>
    <w:rsid w:val="00EA1B7E"/>
    <w:rsid w:val="00EA1FC5"/>
    <w:rsid w:val="00EA4909"/>
    <w:rsid w:val="00EA55DC"/>
    <w:rsid w:val="00EB0617"/>
    <w:rsid w:val="00EB1050"/>
    <w:rsid w:val="00EB2AC6"/>
    <w:rsid w:val="00EB578C"/>
    <w:rsid w:val="00EB7E23"/>
    <w:rsid w:val="00EC0B9A"/>
    <w:rsid w:val="00EC0CF4"/>
    <w:rsid w:val="00EC3580"/>
    <w:rsid w:val="00ED18A3"/>
    <w:rsid w:val="00ED7580"/>
    <w:rsid w:val="00EE55F1"/>
    <w:rsid w:val="00EE77CC"/>
    <w:rsid w:val="00EE7C55"/>
    <w:rsid w:val="00EF0FFF"/>
    <w:rsid w:val="00EF26D0"/>
    <w:rsid w:val="00EF4DB7"/>
    <w:rsid w:val="00EF703F"/>
    <w:rsid w:val="00F05EE6"/>
    <w:rsid w:val="00F069C3"/>
    <w:rsid w:val="00F10752"/>
    <w:rsid w:val="00F11F5C"/>
    <w:rsid w:val="00F132CE"/>
    <w:rsid w:val="00F13382"/>
    <w:rsid w:val="00F14EE6"/>
    <w:rsid w:val="00F16442"/>
    <w:rsid w:val="00F16767"/>
    <w:rsid w:val="00F240AC"/>
    <w:rsid w:val="00F33F5B"/>
    <w:rsid w:val="00F35581"/>
    <w:rsid w:val="00F35CB7"/>
    <w:rsid w:val="00F52A3F"/>
    <w:rsid w:val="00F5445A"/>
    <w:rsid w:val="00F5585A"/>
    <w:rsid w:val="00F56DAC"/>
    <w:rsid w:val="00F605B8"/>
    <w:rsid w:val="00F61D7D"/>
    <w:rsid w:val="00F62317"/>
    <w:rsid w:val="00F6409B"/>
    <w:rsid w:val="00F646BF"/>
    <w:rsid w:val="00F64B38"/>
    <w:rsid w:val="00F67EB6"/>
    <w:rsid w:val="00F7286B"/>
    <w:rsid w:val="00F73AA0"/>
    <w:rsid w:val="00F80F8A"/>
    <w:rsid w:val="00F84C28"/>
    <w:rsid w:val="00F85113"/>
    <w:rsid w:val="00F87CEA"/>
    <w:rsid w:val="00F94514"/>
    <w:rsid w:val="00F95BA2"/>
    <w:rsid w:val="00F96C63"/>
    <w:rsid w:val="00F97CB6"/>
    <w:rsid w:val="00FA4DCB"/>
    <w:rsid w:val="00FA579E"/>
    <w:rsid w:val="00FA5CDD"/>
    <w:rsid w:val="00FB393A"/>
    <w:rsid w:val="00FB65A8"/>
    <w:rsid w:val="00FB79A5"/>
    <w:rsid w:val="00FC07C6"/>
    <w:rsid w:val="00FC1810"/>
    <w:rsid w:val="00FC6FE2"/>
    <w:rsid w:val="00FD19F4"/>
    <w:rsid w:val="00FD2902"/>
    <w:rsid w:val="00FD784D"/>
    <w:rsid w:val="00FE43EB"/>
    <w:rsid w:val="00FE4936"/>
    <w:rsid w:val="00FE69D8"/>
    <w:rsid w:val="00FF3365"/>
    <w:rsid w:val="00FF4706"/>
    <w:rsid w:val="00FF58D5"/>
    <w:rsid w:val="00FF7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7519B"/>
  <w15:docId w15:val="{0FA138B6-22DB-4E25-9321-1A503F4B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D7D"/>
    <w:pPr>
      <w:spacing w:before="0" w:after="200" w:line="276"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1D7D"/>
    <w:pPr>
      <w:autoSpaceDE w:val="0"/>
      <w:autoSpaceDN w:val="0"/>
      <w:adjustRightInd w:val="0"/>
      <w:spacing w:before="0" w:after="0"/>
      <w:jc w:val="left"/>
    </w:pPr>
    <w:rPr>
      <w:rFonts w:ascii="Times New Roman" w:hAnsi="Times New Roman" w:cs="Times New Roman"/>
      <w:color w:val="000000"/>
      <w:sz w:val="24"/>
      <w:szCs w:val="24"/>
    </w:rPr>
  </w:style>
  <w:style w:type="table" w:styleId="TableGrid">
    <w:name w:val="Table Grid"/>
    <w:basedOn w:val="TableNormal"/>
    <w:uiPriority w:val="59"/>
    <w:rsid w:val="00F61D7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870"/>
  </w:style>
  <w:style w:type="paragraph" w:styleId="Footer">
    <w:name w:val="footer"/>
    <w:basedOn w:val="Normal"/>
    <w:link w:val="FooterChar"/>
    <w:uiPriority w:val="99"/>
    <w:unhideWhenUsed/>
    <w:rsid w:val="0021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870"/>
  </w:style>
  <w:style w:type="paragraph" w:styleId="ListParagraph">
    <w:name w:val="List Paragraph"/>
    <w:basedOn w:val="Normal"/>
    <w:uiPriority w:val="34"/>
    <w:qFormat/>
    <w:rsid w:val="00FE69D8"/>
    <w:pPr>
      <w:ind w:left="720"/>
      <w:contextualSpacing/>
    </w:pPr>
  </w:style>
  <w:style w:type="paragraph" w:styleId="NormalWeb">
    <w:name w:val="Normal (Web)"/>
    <w:basedOn w:val="Normal"/>
    <w:uiPriority w:val="99"/>
    <w:semiHidden/>
    <w:unhideWhenUsed/>
    <w:rsid w:val="00923D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555D"/>
    <w:rPr>
      <w:b/>
      <w:bCs/>
    </w:rPr>
  </w:style>
  <w:style w:type="character" w:styleId="Emphasis">
    <w:name w:val="Emphasis"/>
    <w:basedOn w:val="DefaultParagraphFont"/>
    <w:uiPriority w:val="20"/>
    <w:qFormat/>
    <w:rsid w:val="0094555D"/>
    <w:rPr>
      <w:i/>
      <w:iCs/>
    </w:rPr>
  </w:style>
  <w:style w:type="character" w:styleId="Hyperlink">
    <w:name w:val="Hyperlink"/>
    <w:basedOn w:val="DefaultParagraphFont"/>
    <w:uiPriority w:val="99"/>
    <w:semiHidden/>
    <w:unhideWhenUsed/>
    <w:rsid w:val="00DF25BF"/>
    <w:rPr>
      <w:color w:val="0000FF"/>
      <w:u w:val="single"/>
    </w:rPr>
  </w:style>
  <w:style w:type="paragraph" w:styleId="BalloonText">
    <w:name w:val="Balloon Text"/>
    <w:basedOn w:val="Normal"/>
    <w:link w:val="BalloonTextChar"/>
    <w:uiPriority w:val="99"/>
    <w:semiHidden/>
    <w:unhideWhenUsed/>
    <w:rsid w:val="004A3D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DE8"/>
    <w:rPr>
      <w:rFonts w:ascii="Segoe UI" w:hAnsi="Segoe UI" w:cs="Segoe UI"/>
      <w:sz w:val="18"/>
      <w:szCs w:val="18"/>
    </w:rPr>
  </w:style>
  <w:style w:type="character" w:customStyle="1" w:styleId="dieuCharChar">
    <w:name w:val="dieu Char Char"/>
    <w:rsid w:val="00AF33DC"/>
    <w:rPr>
      <w:b/>
      <w:color w:val="0000FF"/>
      <w:sz w:val="26"/>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6212">
      <w:bodyDiv w:val="1"/>
      <w:marLeft w:val="0"/>
      <w:marRight w:val="0"/>
      <w:marTop w:val="0"/>
      <w:marBottom w:val="0"/>
      <w:divBdr>
        <w:top w:val="none" w:sz="0" w:space="0" w:color="auto"/>
        <w:left w:val="none" w:sz="0" w:space="0" w:color="auto"/>
        <w:bottom w:val="none" w:sz="0" w:space="0" w:color="auto"/>
        <w:right w:val="none" w:sz="0" w:space="0" w:color="auto"/>
      </w:divBdr>
    </w:div>
    <w:div w:id="55785361">
      <w:bodyDiv w:val="1"/>
      <w:marLeft w:val="0"/>
      <w:marRight w:val="0"/>
      <w:marTop w:val="0"/>
      <w:marBottom w:val="0"/>
      <w:divBdr>
        <w:top w:val="none" w:sz="0" w:space="0" w:color="auto"/>
        <w:left w:val="none" w:sz="0" w:space="0" w:color="auto"/>
        <w:bottom w:val="none" w:sz="0" w:space="0" w:color="auto"/>
        <w:right w:val="none" w:sz="0" w:space="0" w:color="auto"/>
      </w:divBdr>
    </w:div>
    <w:div w:id="95714248">
      <w:bodyDiv w:val="1"/>
      <w:marLeft w:val="0"/>
      <w:marRight w:val="0"/>
      <w:marTop w:val="0"/>
      <w:marBottom w:val="0"/>
      <w:divBdr>
        <w:top w:val="none" w:sz="0" w:space="0" w:color="auto"/>
        <w:left w:val="none" w:sz="0" w:space="0" w:color="auto"/>
        <w:bottom w:val="none" w:sz="0" w:space="0" w:color="auto"/>
        <w:right w:val="none" w:sz="0" w:space="0" w:color="auto"/>
      </w:divBdr>
    </w:div>
    <w:div w:id="144514443">
      <w:bodyDiv w:val="1"/>
      <w:marLeft w:val="0"/>
      <w:marRight w:val="0"/>
      <w:marTop w:val="0"/>
      <w:marBottom w:val="0"/>
      <w:divBdr>
        <w:top w:val="none" w:sz="0" w:space="0" w:color="auto"/>
        <w:left w:val="none" w:sz="0" w:space="0" w:color="auto"/>
        <w:bottom w:val="none" w:sz="0" w:space="0" w:color="auto"/>
        <w:right w:val="none" w:sz="0" w:space="0" w:color="auto"/>
      </w:divBdr>
    </w:div>
    <w:div w:id="271672744">
      <w:bodyDiv w:val="1"/>
      <w:marLeft w:val="0"/>
      <w:marRight w:val="0"/>
      <w:marTop w:val="0"/>
      <w:marBottom w:val="0"/>
      <w:divBdr>
        <w:top w:val="none" w:sz="0" w:space="0" w:color="auto"/>
        <w:left w:val="none" w:sz="0" w:space="0" w:color="auto"/>
        <w:bottom w:val="none" w:sz="0" w:space="0" w:color="auto"/>
        <w:right w:val="none" w:sz="0" w:space="0" w:color="auto"/>
      </w:divBdr>
    </w:div>
    <w:div w:id="311182240">
      <w:bodyDiv w:val="1"/>
      <w:marLeft w:val="0"/>
      <w:marRight w:val="0"/>
      <w:marTop w:val="0"/>
      <w:marBottom w:val="0"/>
      <w:divBdr>
        <w:top w:val="none" w:sz="0" w:space="0" w:color="auto"/>
        <w:left w:val="none" w:sz="0" w:space="0" w:color="auto"/>
        <w:bottom w:val="none" w:sz="0" w:space="0" w:color="auto"/>
        <w:right w:val="none" w:sz="0" w:space="0" w:color="auto"/>
      </w:divBdr>
    </w:div>
    <w:div w:id="320354157">
      <w:bodyDiv w:val="1"/>
      <w:marLeft w:val="0"/>
      <w:marRight w:val="0"/>
      <w:marTop w:val="0"/>
      <w:marBottom w:val="0"/>
      <w:divBdr>
        <w:top w:val="none" w:sz="0" w:space="0" w:color="auto"/>
        <w:left w:val="none" w:sz="0" w:space="0" w:color="auto"/>
        <w:bottom w:val="none" w:sz="0" w:space="0" w:color="auto"/>
        <w:right w:val="none" w:sz="0" w:space="0" w:color="auto"/>
      </w:divBdr>
    </w:div>
    <w:div w:id="321204271">
      <w:bodyDiv w:val="1"/>
      <w:marLeft w:val="0"/>
      <w:marRight w:val="0"/>
      <w:marTop w:val="0"/>
      <w:marBottom w:val="0"/>
      <w:divBdr>
        <w:top w:val="none" w:sz="0" w:space="0" w:color="auto"/>
        <w:left w:val="none" w:sz="0" w:space="0" w:color="auto"/>
        <w:bottom w:val="none" w:sz="0" w:space="0" w:color="auto"/>
        <w:right w:val="none" w:sz="0" w:space="0" w:color="auto"/>
      </w:divBdr>
    </w:div>
    <w:div w:id="425928542">
      <w:bodyDiv w:val="1"/>
      <w:marLeft w:val="0"/>
      <w:marRight w:val="0"/>
      <w:marTop w:val="0"/>
      <w:marBottom w:val="0"/>
      <w:divBdr>
        <w:top w:val="none" w:sz="0" w:space="0" w:color="auto"/>
        <w:left w:val="none" w:sz="0" w:space="0" w:color="auto"/>
        <w:bottom w:val="none" w:sz="0" w:space="0" w:color="auto"/>
        <w:right w:val="none" w:sz="0" w:space="0" w:color="auto"/>
      </w:divBdr>
    </w:div>
    <w:div w:id="617181265">
      <w:bodyDiv w:val="1"/>
      <w:marLeft w:val="0"/>
      <w:marRight w:val="0"/>
      <w:marTop w:val="0"/>
      <w:marBottom w:val="0"/>
      <w:divBdr>
        <w:top w:val="none" w:sz="0" w:space="0" w:color="auto"/>
        <w:left w:val="none" w:sz="0" w:space="0" w:color="auto"/>
        <w:bottom w:val="none" w:sz="0" w:space="0" w:color="auto"/>
        <w:right w:val="none" w:sz="0" w:space="0" w:color="auto"/>
      </w:divBdr>
    </w:div>
    <w:div w:id="933123316">
      <w:bodyDiv w:val="1"/>
      <w:marLeft w:val="0"/>
      <w:marRight w:val="0"/>
      <w:marTop w:val="0"/>
      <w:marBottom w:val="0"/>
      <w:divBdr>
        <w:top w:val="none" w:sz="0" w:space="0" w:color="auto"/>
        <w:left w:val="none" w:sz="0" w:space="0" w:color="auto"/>
        <w:bottom w:val="none" w:sz="0" w:space="0" w:color="auto"/>
        <w:right w:val="none" w:sz="0" w:space="0" w:color="auto"/>
      </w:divBdr>
    </w:div>
    <w:div w:id="968630379">
      <w:bodyDiv w:val="1"/>
      <w:marLeft w:val="0"/>
      <w:marRight w:val="0"/>
      <w:marTop w:val="0"/>
      <w:marBottom w:val="0"/>
      <w:divBdr>
        <w:top w:val="none" w:sz="0" w:space="0" w:color="auto"/>
        <w:left w:val="none" w:sz="0" w:space="0" w:color="auto"/>
        <w:bottom w:val="none" w:sz="0" w:space="0" w:color="auto"/>
        <w:right w:val="none" w:sz="0" w:space="0" w:color="auto"/>
      </w:divBdr>
    </w:div>
    <w:div w:id="977875434">
      <w:bodyDiv w:val="1"/>
      <w:marLeft w:val="0"/>
      <w:marRight w:val="0"/>
      <w:marTop w:val="0"/>
      <w:marBottom w:val="0"/>
      <w:divBdr>
        <w:top w:val="none" w:sz="0" w:space="0" w:color="auto"/>
        <w:left w:val="none" w:sz="0" w:space="0" w:color="auto"/>
        <w:bottom w:val="none" w:sz="0" w:space="0" w:color="auto"/>
        <w:right w:val="none" w:sz="0" w:space="0" w:color="auto"/>
      </w:divBdr>
    </w:div>
    <w:div w:id="994188100">
      <w:bodyDiv w:val="1"/>
      <w:marLeft w:val="0"/>
      <w:marRight w:val="0"/>
      <w:marTop w:val="0"/>
      <w:marBottom w:val="0"/>
      <w:divBdr>
        <w:top w:val="none" w:sz="0" w:space="0" w:color="auto"/>
        <w:left w:val="none" w:sz="0" w:space="0" w:color="auto"/>
        <w:bottom w:val="none" w:sz="0" w:space="0" w:color="auto"/>
        <w:right w:val="none" w:sz="0" w:space="0" w:color="auto"/>
      </w:divBdr>
    </w:div>
    <w:div w:id="1028674694">
      <w:bodyDiv w:val="1"/>
      <w:marLeft w:val="0"/>
      <w:marRight w:val="0"/>
      <w:marTop w:val="0"/>
      <w:marBottom w:val="0"/>
      <w:divBdr>
        <w:top w:val="none" w:sz="0" w:space="0" w:color="auto"/>
        <w:left w:val="none" w:sz="0" w:space="0" w:color="auto"/>
        <w:bottom w:val="none" w:sz="0" w:space="0" w:color="auto"/>
        <w:right w:val="none" w:sz="0" w:space="0" w:color="auto"/>
      </w:divBdr>
      <w:divsChild>
        <w:div w:id="998920121">
          <w:marLeft w:val="0"/>
          <w:marRight w:val="0"/>
          <w:marTop w:val="0"/>
          <w:marBottom w:val="0"/>
          <w:divBdr>
            <w:top w:val="none" w:sz="0" w:space="0" w:color="auto"/>
            <w:left w:val="none" w:sz="0" w:space="0" w:color="auto"/>
            <w:bottom w:val="none" w:sz="0" w:space="0" w:color="auto"/>
            <w:right w:val="none" w:sz="0" w:space="0" w:color="auto"/>
          </w:divBdr>
          <w:divsChild>
            <w:div w:id="665942099">
              <w:marLeft w:val="0"/>
              <w:marRight w:val="0"/>
              <w:marTop w:val="0"/>
              <w:marBottom w:val="0"/>
              <w:divBdr>
                <w:top w:val="none" w:sz="0" w:space="0" w:color="auto"/>
                <w:left w:val="none" w:sz="0" w:space="0" w:color="auto"/>
                <w:bottom w:val="none" w:sz="0" w:space="0" w:color="auto"/>
                <w:right w:val="none" w:sz="0" w:space="0" w:color="auto"/>
              </w:divBdr>
              <w:divsChild>
                <w:div w:id="891500210">
                  <w:marLeft w:val="0"/>
                  <w:marRight w:val="0"/>
                  <w:marTop w:val="0"/>
                  <w:marBottom w:val="0"/>
                  <w:divBdr>
                    <w:top w:val="none" w:sz="0" w:space="0" w:color="auto"/>
                    <w:left w:val="none" w:sz="0" w:space="0" w:color="auto"/>
                    <w:bottom w:val="none" w:sz="0" w:space="0" w:color="auto"/>
                    <w:right w:val="none" w:sz="0" w:space="0" w:color="auto"/>
                  </w:divBdr>
                  <w:divsChild>
                    <w:div w:id="165441355">
                      <w:marLeft w:val="0"/>
                      <w:marRight w:val="0"/>
                      <w:marTop w:val="0"/>
                      <w:marBottom w:val="0"/>
                      <w:divBdr>
                        <w:top w:val="none" w:sz="0" w:space="0" w:color="auto"/>
                        <w:left w:val="none" w:sz="0" w:space="0" w:color="auto"/>
                        <w:bottom w:val="none" w:sz="0" w:space="0" w:color="auto"/>
                        <w:right w:val="none" w:sz="0" w:space="0" w:color="auto"/>
                      </w:divBdr>
                      <w:divsChild>
                        <w:div w:id="413019600">
                          <w:marLeft w:val="0"/>
                          <w:marRight w:val="0"/>
                          <w:marTop w:val="0"/>
                          <w:marBottom w:val="0"/>
                          <w:divBdr>
                            <w:top w:val="none" w:sz="0" w:space="0" w:color="auto"/>
                            <w:left w:val="none" w:sz="0" w:space="0" w:color="auto"/>
                            <w:bottom w:val="none" w:sz="0" w:space="0" w:color="auto"/>
                            <w:right w:val="none" w:sz="0" w:space="0" w:color="auto"/>
                          </w:divBdr>
                          <w:divsChild>
                            <w:div w:id="1440832699">
                              <w:marLeft w:val="0"/>
                              <w:marRight w:val="0"/>
                              <w:marTop w:val="0"/>
                              <w:marBottom w:val="0"/>
                              <w:divBdr>
                                <w:top w:val="none" w:sz="0" w:space="0" w:color="auto"/>
                                <w:left w:val="none" w:sz="0" w:space="0" w:color="auto"/>
                                <w:bottom w:val="none" w:sz="0" w:space="0" w:color="auto"/>
                                <w:right w:val="none" w:sz="0" w:space="0" w:color="auto"/>
                              </w:divBdr>
                              <w:divsChild>
                                <w:div w:id="274946156">
                                  <w:marLeft w:val="0"/>
                                  <w:marRight w:val="0"/>
                                  <w:marTop w:val="0"/>
                                  <w:marBottom w:val="0"/>
                                  <w:divBdr>
                                    <w:top w:val="none" w:sz="0" w:space="0" w:color="auto"/>
                                    <w:left w:val="none" w:sz="0" w:space="0" w:color="auto"/>
                                    <w:bottom w:val="none" w:sz="0" w:space="0" w:color="auto"/>
                                    <w:right w:val="none" w:sz="0" w:space="0" w:color="auto"/>
                                  </w:divBdr>
                                  <w:divsChild>
                                    <w:div w:id="1381131995">
                                      <w:marLeft w:val="0"/>
                                      <w:marRight w:val="0"/>
                                      <w:marTop w:val="0"/>
                                      <w:marBottom w:val="0"/>
                                      <w:divBdr>
                                        <w:top w:val="none" w:sz="0" w:space="0" w:color="auto"/>
                                        <w:left w:val="none" w:sz="0" w:space="0" w:color="auto"/>
                                        <w:bottom w:val="none" w:sz="0" w:space="0" w:color="auto"/>
                                        <w:right w:val="none" w:sz="0" w:space="0" w:color="auto"/>
                                      </w:divBdr>
                                      <w:divsChild>
                                        <w:div w:id="10091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4515639">
                  <w:marLeft w:val="0"/>
                  <w:marRight w:val="0"/>
                  <w:marTop w:val="0"/>
                  <w:marBottom w:val="0"/>
                  <w:divBdr>
                    <w:top w:val="none" w:sz="0" w:space="0" w:color="auto"/>
                    <w:left w:val="none" w:sz="0" w:space="0" w:color="auto"/>
                    <w:bottom w:val="none" w:sz="0" w:space="0" w:color="auto"/>
                    <w:right w:val="none" w:sz="0" w:space="0" w:color="auto"/>
                  </w:divBdr>
                  <w:divsChild>
                    <w:div w:id="175310147">
                      <w:marLeft w:val="0"/>
                      <w:marRight w:val="0"/>
                      <w:marTop w:val="0"/>
                      <w:marBottom w:val="0"/>
                      <w:divBdr>
                        <w:top w:val="none" w:sz="0" w:space="0" w:color="auto"/>
                        <w:left w:val="none" w:sz="0" w:space="0" w:color="auto"/>
                        <w:bottom w:val="none" w:sz="0" w:space="0" w:color="auto"/>
                        <w:right w:val="none" w:sz="0" w:space="0" w:color="auto"/>
                      </w:divBdr>
                      <w:divsChild>
                        <w:div w:id="442697438">
                          <w:marLeft w:val="0"/>
                          <w:marRight w:val="0"/>
                          <w:marTop w:val="0"/>
                          <w:marBottom w:val="0"/>
                          <w:divBdr>
                            <w:top w:val="none" w:sz="0" w:space="0" w:color="auto"/>
                            <w:left w:val="none" w:sz="0" w:space="0" w:color="auto"/>
                            <w:bottom w:val="none" w:sz="0" w:space="0" w:color="auto"/>
                            <w:right w:val="none" w:sz="0" w:space="0" w:color="auto"/>
                          </w:divBdr>
                          <w:divsChild>
                            <w:div w:id="1453019826">
                              <w:marLeft w:val="30"/>
                              <w:marRight w:val="30"/>
                              <w:marTop w:val="0"/>
                              <w:marBottom w:val="30"/>
                              <w:divBdr>
                                <w:top w:val="none" w:sz="0" w:space="0" w:color="auto"/>
                                <w:left w:val="none" w:sz="0" w:space="0" w:color="auto"/>
                                <w:bottom w:val="none" w:sz="0" w:space="0" w:color="auto"/>
                                <w:right w:val="none" w:sz="0" w:space="0" w:color="auto"/>
                              </w:divBdr>
                              <w:divsChild>
                                <w:div w:id="1290088187">
                                  <w:marLeft w:val="0"/>
                                  <w:marRight w:val="-15"/>
                                  <w:marTop w:val="0"/>
                                  <w:marBottom w:val="30"/>
                                  <w:divBdr>
                                    <w:top w:val="single" w:sz="6" w:space="0" w:color="F9FBFD"/>
                                    <w:left w:val="single" w:sz="6" w:space="9" w:color="F9FBFD"/>
                                    <w:bottom w:val="none" w:sz="0" w:space="0" w:color="auto"/>
                                    <w:right w:val="single" w:sz="6" w:space="5" w:color="F9FBFD"/>
                                  </w:divBdr>
                                  <w:divsChild>
                                    <w:div w:id="1820223347">
                                      <w:marLeft w:val="-15"/>
                                      <w:marRight w:val="-15"/>
                                      <w:marTop w:val="0"/>
                                      <w:marBottom w:val="0"/>
                                      <w:divBdr>
                                        <w:top w:val="none" w:sz="0" w:space="0" w:color="E4E4E4"/>
                                        <w:left w:val="none" w:sz="0" w:space="0" w:color="E4E4E4"/>
                                        <w:bottom w:val="none" w:sz="0" w:space="0" w:color="E4E4E4"/>
                                        <w:right w:val="none" w:sz="0" w:space="0" w:color="E4E4E4"/>
                                      </w:divBdr>
                                      <w:divsChild>
                                        <w:div w:id="37827617">
                                          <w:marLeft w:val="0"/>
                                          <w:marRight w:val="0"/>
                                          <w:marTop w:val="0"/>
                                          <w:marBottom w:val="0"/>
                                          <w:divBdr>
                                            <w:top w:val="none" w:sz="0" w:space="0" w:color="auto"/>
                                            <w:left w:val="none" w:sz="0" w:space="0" w:color="auto"/>
                                            <w:bottom w:val="none" w:sz="0" w:space="0" w:color="auto"/>
                                            <w:right w:val="none" w:sz="0" w:space="0" w:color="auto"/>
                                          </w:divBdr>
                                          <w:divsChild>
                                            <w:div w:id="167368082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38740257">
                                  <w:marLeft w:val="0"/>
                                  <w:marRight w:val="-15"/>
                                  <w:marTop w:val="0"/>
                                  <w:marBottom w:val="30"/>
                                  <w:divBdr>
                                    <w:top w:val="single" w:sz="6" w:space="0" w:color="F9FBFD"/>
                                    <w:left w:val="single" w:sz="6" w:space="9" w:color="F9FBFD"/>
                                    <w:bottom w:val="none" w:sz="0" w:space="0" w:color="auto"/>
                                    <w:right w:val="single" w:sz="6" w:space="5" w:color="F9FBFD"/>
                                  </w:divBdr>
                                  <w:divsChild>
                                    <w:div w:id="1909265247">
                                      <w:marLeft w:val="-15"/>
                                      <w:marRight w:val="-15"/>
                                      <w:marTop w:val="0"/>
                                      <w:marBottom w:val="0"/>
                                      <w:divBdr>
                                        <w:top w:val="none" w:sz="0" w:space="0" w:color="E4E4E4"/>
                                        <w:left w:val="none" w:sz="0" w:space="0" w:color="E4E4E4"/>
                                        <w:bottom w:val="none" w:sz="0" w:space="0" w:color="E4E4E4"/>
                                        <w:right w:val="none" w:sz="0" w:space="0" w:color="E4E4E4"/>
                                      </w:divBdr>
                                      <w:divsChild>
                                        <w:div w:id="123742334">
                                          <w:marLeft w:val="0"/>
                                          <w:marRight w:val="0"/>
                                          <w:marTop w:val="0"/>
                                          <w:marBottom w:val="0"/>
                                          <w:divBdr>
                                            <w:top w:val="none" w:sz="0" w:space="0" w:color="auto"/>
                                            <w:left w:val="none" w:sz="0" w:space="0" w:color="auto"/>
                                            <w:bottom w:val="none" w:sz="0" w:space="0" w:color="auto"/>
                                            <w:right w:val="none" w:sz="0" w:space="0" w:color="auto"/>
                                          </w:divBdr>
                                          <w:divsChild>
                                            <w:div w:id="160820029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09033455">
                                  <w:marLeft w:val="0"/>
                                  <w:marRight w:val="-15"/>
                                  <w:marTop w:val="0"/>
                                  <w:marBottom w:val="30"/>
                                  <w:divBdr>
                                    <w:top w:val="single" w:sz="6" w:space="0" w:color="F9FBFD"/>
                                    <w:left w:val="single" w:sz="6" w:space="9" w:color="F9FBFD"/>
                                    <w:bottom w:val="none" w:sz="0" w:space="0" w:color="auto"/>
                                    <w:right w:val="single" w:sz="6" w:space="5" w:color="F9FBFD"/>
                                  </w:divBdr>
                                  <w:divsChild>
                                    <w:div w:id="1338387819">
                                      <w:marLeft w:val="-15"/>
                                      <w:marRight w:val="-15"/>
                                      <w:marTop w:val="0"/>
                                      <w:marBottom w:val="0"/>
                                      <w:divBdr>
                                        <w:top w:val="none" w:sz="0" w:space="0" w:color="E4E4E4"/>
                                        <w:left w:val="none" w:sz="0" w:space="0" w:color="E4E4E4"/>
                                        <w:bottom w:val="none" w:sz="0" w:space="0" w:color="E4E4E4"/>
                                        <w:right w:val="none" w:sz="0" w:space="0" w:color="E4E4E4"/>
                                      </w:divBdr>
                                      <w:divsChild>
                                        <w:div w:id="1022702074">
                                          <w:marLeft w:val="0"/>
                                          <w:marRight w:val="0"/>
                                          <w:marTop w:val="0"/>
                                          <w:marBottom w:val="0"/>
                                          <w:divBdr>
                                            <w:top w:val="none" w:sz="0" w:space="0" w:color="auto"/>
                                            <w:left w:val="none" w:sz="0" w:space="0" w:color="auto"/>
                                            <w:bottom w:val="none" w:sz="0" w:space="0" w:color="auto"/>
                                            <w:right w:val="none" w:sz="0" w:space="0" w:color="auto"/>
                                          </w:divBdr>
                                          <w:divsChild>
                                            <w:div w:id="202258891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56950738">
                                  <w:marLeft w:val="0"/>
                                  <w:marRight w:val="-15"/>
                                  <w:marTop w:val="0"/>
                                  <w:marBottom w:val="30"/>
                                  <w:divBdr>
                                    <w:top w:val="single" w:sz="6" w:space="0" w:color="F9FBFD"/>
                                    <w:left w:val="single" w:sz="6" w:space="9" w:color="F9FBFD"/>
                                    <w:bottom w:val="none" w:sz="0" w:space="0" w:color="auto"/>
                                    <w:right w:val="single" w:sz="6" w:space="5" w:color="F9FBFD"/>
                                  </w:divBdr>
                                  <w:divsChild>
                                    <w:div w:id="899822935">
                                      <w:marLeft w:val="-15"/>
                                      <w:marRight w:val="-15"/>
                                      <w:marTop w:val="0"/>
                                      <w:marBottom w:val="0"/>
                                      <w:divBdr>
                                        <w:top w:val="none" w:sz="0" w:space="0" w:color="E4E4E4"/>
                                        <w:left w:val="none" w:sz="0" w:space="0" w:color="E4E4E4"/>
                                        <w:bottom w:val="none" w:sz="0" w:space="0" w:color="E4E4E4"/>
                                        <w:right w:val="none" w:sz="0" w:space="0" w:color="E4E4E4"/>
                                      </w:divBdr>
                                      <w:divsChild>
                                        <w:div w:id="892041029">
                                          <w:marLeft w:val="0"/>
                                          <w:marRight w:val="0"/>
                                          <w:marTop w:val="0"/>
                                          <w:marBottom w:val="0"/>
                                          <w:divBdr>
                                            <w:top w:val="none" w:sz="0" w:space="0" w:color="auto"/>
                                            <w:left w:val="none" w:sz="0" w:space="0" w:color="auto"/>
                                            <w:bottom w:val="none" w:sz="0" w:space="0" w:color="auto"/>
                                            <w:right w:val="none" w:sz="0" w:space="0" w:color="auto"/>
                                          </w:divBdr>
                                          <w:divsChild>
                                            <w:div w:id="9653539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48334335">
                                  <w:marLeft w:val="0"/>
                                  <w:marRight w:val="-15"/>
                                  <w:marTop w:val="0"/>
                                  <w:marBottom w:val="30"/>
                                  <w:divBdr>
                                    <w:top w:val="single" w:sz="6" w:space="0" w:color="F9FBFD"/>
                                    <w:left w:val="single" w:sz="6" w:space="9" w:color="F9FBFD"/>
                                    <w:bottom w:val="none" w:sz="0" w:space="0" w:color="auto"/>
                                    <w:right w:val="single" w:sz="6" w:space="5" w:color="F9FBFD"/>
                                  </w:divBdr>
                                  <w:divsChild>
                                    <w:div w:id="1400978009">
                                      <w:marLeft w:val="-15"/>
                                      <w:marRight w:val="-15"/>
                                      <w:marTop w:val="0"/>
                                      <w:marBottom w:val="0"/>
                                      <w:divBdr>
                                        <w:top w:val="none" w:sz="0" w:space="0" w:color="E4E4E4"/>
                                        <w:left w:val="none" w:sz="0" w:space="0" w:color="E4E4E4"/>
                                        <w:bottom w:val="none" w:sz="0" w:space="0" w:color="E4E4E4"/>
                                        <w:right w:val="none" w:sz="0" w:space="0" w:color="E4E4E4"/>
                                      </w:divBdr>
                                      <w:divsChild>
                                        <w:div w:id="677342975">
                                          <w:marLeft w:val="0"/>
                                          <w:marRight w:val="0"/>
                                          <w:marTop w:val="0"/>
                                          <w:marBottom w:val="0"/>
                                          <w:divBdr>
                                            <w:top w:val="none" w:sz="0" w:space="0" w:color="auto"/>
                                            <w:left w:val="none" w:sz="0" w:space="0" w:color="auto"/>
                                            <w:bottom w:val="none" w:sz="0" w:space="0" w:color="auto"/>
                                            <w:right w:val="none" w:sz="0" w:space="0" w:color="auto"/>
                                          </w:divBdr>
                                          <w:divsChild>
                                            <w:div w:id="34139359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05133010">
                                  <w:marLeft w:val="0"/>
                                  <w:marRight w:val="-15"/>
                                  <w:marTop w:val="0"/>
                                  <w:marBottom w:val="30"/>
                                  <w:divBdr>
                                    <w:top w:val="single" w:sz="6" w:space="0" w:color="F9FBFD"/>
                                    <w:left w:val="single" w:sz="6" w:space="9" w:color="F9FBFD"/>
                                    <w:bottom w:val="none" w:sz="0" w:space="0" w:color="auto"/>
                                    <w:right w:val="single" w:sz="6" w:space="5" w:color="F9FBFD"/>
                                  </w:divBdr>
                                  <w:divsChild>
                                    <w:div w:id="852458979">
                                      <w:marLeft w:val="-15"/>
                                      <w:marRight w:val="-15"/>
                                      <w:marTop w:val="0"/>
                                      <w:marBottom w:val="0"/>
                                      <w:divBdr>
                                        <w:top w:val="none" w:sz="0" w:space="0" w:color="E4E4E4"/>
                                        <w:left w:val="none" w:sz="0" w:space="0" w:color="E4E4E4"/>
                                        <w:bottom w:val="none" w:sz="0" w:space="0" w:color="E4E4E4"/>
                                        <w:right w:val="none" w:sz="0" w:space="0" w:color="E4E4E4"/>
                                      </w:divBdr>
                                      <w:divsChild>
                                        <w:div w:id="1310284374">
                                          <w:marLeft w:val="0"/>
                                          <w:marRight w:val="0"/>
                                          <w:marTop w:val="0"/>
                                          <w:marBottom w:val="0"/>
                                          <w:divBdr>
                                            <w:top w:val="none" w:sz="0" w:space="0" w:color="auto"/>
                                            <w:left w:val="none" w:sz="0" w:space="0" w:color="auto"/>
                                            <w:bottom w:val="none" w:sz="0" w:space="0" w:color="auto"/>
                                            <w:right w:val="none" w:sz="0" w:space="0" w:color="auto"/>
                                          </w:divBdr>
                                          <w:divsChild>
                                            <w:div w:id="155847456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4494347">
                                  <w:marLeft w:val="0"/>
                                  <w:marRight w:val="-15"/>
                                  <w:marTop w:val="0"/>
                                  <w:marBottom w:val="30"/>
                                  <w:divBdr>
                                    <w:top w:val="single" w:sz="6" w:space="0" w:color="F9FBFD"/>
                                    <w:left w:val="single" w:sz="6" w:space="9" w:color="F9FBFD"/>
                                    <w:bottom w:val="none" w:sz="0" w:space="0" w:color="auto"/>
                                    <w:right w:val="single" w:sz="6" w:space="5" w:color="F9FBFD"/>
                                  </w:divBdr>
                                  <w:divsChild>
                                    <w:div w:id="312687150">
                                      <w:marLeft w:val="-15"/>
                                      <w:marRight w:val="-15"/>
                                      <w:marTop w:val="0"/>
                                      <w:marBottom w:val="0"/>
                                      <w:divBdr>
                                        <w:top w:val="none" w:sz="0" w:space="0" w:color="E4E4E4"/>
                                        <w:left w:val="none" w:sz="0" w:space="0" w:color="E4E4E4"/>
                                        <w:bottom w:val="none" w:sz="0" w:space="0" w:color="E4E4E4"/>
                                        <w:right w:val="none" w:sz="0" w:space="0" w:color="E4E4E4"/>
                                      </w:divBdr>
                                      <w:divsChild>
                                        <w:div w:id="1291394844">
                                          <w:marLeft w:val="0"/>
                                          <w:marRight w:val="0"/>
                                          <w:marTop w:val="0"/>
                                          <w:marBottom w:val="0"/>
                                          <w:divBdr>
                                            <w:top w:val="none" w:sz="0" w:space="0" w:color="auto"/>
                                            <w:left w:val="none" w:sz="0" w:space="0" w:color="auto"/>
                                            <w:bottom w:val="none" w:sz="0" w:space="0" w:color="auto"/>
                                            <w:right w:val="none" w:sz="0" w:space="0" w:color="auto"/>
                                          </w:divBdr>
                                          <w:divsChild>
                                            <w:div w:id="4256191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32430661">
                                  <w:marLeft w:val="0"/>
                                  <w:marRight w:val="-15"/>
                                  <w:marTop w:val="0"/>
                                  <w:marBottom w:val="30"/>
                                  <w:divBdr>
                                    <w:top w:val="single" w:sz="6" w:space="0" w:color="F9FBFD"/>
                                    <w:left w:val="single" w:sz="6" w:space="9" w:color="F9FBFD"/>
                                    <w:bottom w:val="none" w:sz="0" w:space="0" w:color="auto"/>
                                    <w:right w:val="single" w:sz="6" w:space="5" w:color="F9FBFD"/>
                                  </w:divBdr>
                                  <w:divsChild>
                                    <w:div w:id="1784499473">
                                      <w:marLeft w:val="-15"/>
                                      <w:marRight w:val="-15"/>
                                      <w:marTop w:val="0"/>
                                      <w:marBottom w:val="0"/>
                                      <w:divBdr>
                                        <w:top w:val="none" w:sz="0" w:space="0" w:color="E4E4E4"/>
                                        <w:left w:val="none" w:sz="0" w:space="0" w:color="E4E4E4"/>
                                        <w:bottom w:val="none" w:sz="0" w:space="0" w:color="E4E4E4"/>
                                        <w:right w:val="none" w:sz="0" w:space="0" w:color="E4E4E4"/>
                                      </w:divBdr>
                                      <w:divsChild>
                                        <w:div w:id="2048604100">
                                          <w:marLeft w:val="0"/>
                                          <w:marRight w:val="0"/>
                                          <w:marTop w:val="0"/>
                                          <w:marBottom w:val="0"/>
                                          <w:divBdr>
                                            <w:top w:val="none" w:sz="0" w:space="0" w:color="auto"/>
                                            <w:left w:val="none" w:sz="0" w:space="0" w:color="auto"/>
                                            <w:bottom w:val="none" w:sz="0" w:space="0" w:color="auto"/>
                                            <w:right w:val="none" w:sz="0" w:space="0" w:color="auto"/>
                                          </w:divBdr>
                                          <w:divsChild>
                                            <w:div w:id="55057831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2143127">
                                  <w:marLeft w:val="0"/>
                                  <w:marRight w:val="-15"/>
                                  <w:marTop w:val="0"/>
                                  <w:marBottom w:val="30"/>
                                  <w:divBdr>
                                    <w:top w:val="single" w:sz="6" w:space="0" w:color="F9FBFD"/>
                                    <w:left w:val="single" w:sz="6" w:space="9" w:color="F9FBFD"/>
                                    <w:bottom w:val="none" w:sz="0" w:space="0" w:color="auto"/>
                                    <w:right w:val="single" w:sz="6" w:space="5" w:color="F9FBFD"/>
                                  </w:divBdr>
                                  <w:divsChild>
                                    <w:div w:id="412943898">
                                      <w:marLeft w:val="-15"/>
                                      <w:marRight w:val="-15"/>
                                      <w:marTop w:val="0"/>
                                      <w:marBottom w:val="0"/>
                                      <w:divBdr>
                                        <w:top w:val="none" w:sz="0" w:space="0" w:color="E4E4E4"/>
                                        <w:left w:val="none" w:sz="0" w:space="0" w:color="E4E4E4"/>
                                        <w:bottom w:val="none" w:sz="0" w:space="0" w:color="E4E4E4"/>
                                        <w:right w:val="none" w:sz="0" w:space="0" w:color="E4E4E4"/>
                                      </w:divBdr>
                                      <w:divsChild>
                                        <w:div w:id="577443215">
                                          <w:marLeft w:val="0"/>
                                          <w:marRight w:val="0"/>
                                          <w:marTop w:val="0"/>
                                          <w:marBottom w:val="0"/>
                                          <w:divBdr>
                                            <w:top w:val="none" w:sz="0" w:space="0" w:color="auto"/>
                                            <w:left w:val="none" w:sz="0" w:space="0" w:color="auto"/>
                                            <w:bottom w:val="none" w:sz="0" w:space="0" w:color="auto"/>
                                            <w:right w:val="none" w:sz="0" w:space="0" w:color="auto"/>
                                          </w:divBdr>
                                          <w:divsChild>
                                            <w:div w:id="95560504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9775510">
                                  <w:marLeft w:val="0"/>
                                  <w:marRight w:val="-15"/>
                                  <w:marTop w:val="0"/>
                                  <w:marBottom w:val="30"/>
                                  <w:divBdr>
                                    <w:top w:val="single" w:sz="6" w:space="0" w:color="F9FBFD"/>
                                    <w:left w:val="single" w:sz="6" w:space="9" w:color="F9FBFD"/>
                                    <w:bottom w:val="none" w:sz="0" w:space="0" w:color="auto"/>
                                    <w:right w:val="single" w:sz="6" w:space="5" w:color="F9FBFD"/>
                                  </w:divBdr>
                                  <w:divsChild>
                                    <w:div w:id="1361971317">
                                      <w:marLeft w:val="-15"/>
                                      <w:marRight w:val="-15"/>
                                      <w:marTop w:val="0"/>
                                      <w:marBottom w:val="0"/>
                                      <w:divBdr>
                                        <w:top w:val="none" w:sz="0" w:space="0" w:color="E4E4E4"/>
                                        <w:left w:val="none" w:sz="0" w:space="0" w:color="E4E4E4"/>
                                        <w:bottom w:val="none" w:sz="0" w:space="0" w:color="E4E4E4"/>
                                        <w:right w:val="none" w:sz="0" w:space="0" w:color="E4E4E4"/>
                                      </w:divBdr>
                                      <w:divsChild>
                                        <w:div w:id="1403987689">
                                          <w:marLeft w:val="0"/>
                                          <w:marRight w:val="0"/>
                                          <w:marTop w:val="0"/>
                                          <w:marBottom w:val="0"/>
                                          <w:divBdr>
                                            <w:top w:val="none" w:sz="0" w:space="0" w:color="auto"/>
                                            <w:left w:val="none" w:sz="0" w:space="0" w:color="auto"/>
                                            <w:bottom w:val="none" w:sz="0" w:space="0" w:color="auto"/>
                                            <w:right w:val="none" w:sz="0" w:space="0" w:color="auto"/>
                                          </w:divBdr>
                                          <w:divsChild>
                                            <w:div w:id="59817278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67012609">
                                  <w:marLeft w:val="0"/>
                                  <w:marRight w:val="-15"/>
                                  <w:marTop w:val="0"/>
                                  <w:marBottom w:val="30"/>
                                  <w:divBdr>
                                    <w:top w:val="single" w:sz="6" w:space="0" w:color="E1E9F7"/>
                                    <w:left w:val="single" w:sz="6" w:space="8" w:color="E1E9F7"/>
                                    <w:bottom w:val="none" w:sz="0" w:space="0" w:color="auto"/>
                                    <w:right w:val="single" w:sz="6" w:space="4" w:color="E1E9F7"/>
                                  </w:divBdr>
                                  <w:divsChild>
                                    <w:div w:id="1895236189">
                                      <w:marLeft w:val="-15"/>
                                      <w:marRight w:val="-15"/>
                                      <w:marTop w:val="0"/>
                                      <w:marBottom w:val="0"/>
                                      <w:divBdr>
                                        <w:top w:val="none" w:sz="0" w:space="0" w:color="D8D8D8"/>
                                        <w:left w:val="none" w:sz="0" w:space="0" w:color="D8D8D8"/>
                                        <w:bottom w:val="none" w:sz="0" w:space="0" w:color="D8D8D8"/>
                                        <w:right w:val="none" w:sz="0" w:space="0" w:color="D8D8D8"/>
                                      </w:divBdr>
                                      <w:divsChild>
                                        <w:div w:id="1531724747">
                                          <w:marLeft w:val="0"/>
                                          <w:marRight w:val="0"/>
                                          <w:marTop w:val="0"/>
                                          <w:marBottom w:val="0"/>
                                          <w:divBdr>
                                            <w:top w:val="none" w:sz="0" w:space="0" w:color="auto"/>
                                            <w:left w:val="none" w:sz="0" w:space="0" w:color="auto"/>
                                            <w:bottom w:val="none" w:sz="0" w:space="0" w:color="auto"/>
                                            <w:right w:val="none" w:sz="0" w:space="0" w:color="auto"/>
                                          </w:divBdr>
                                          <w:divsChild>
                                            <w:div w:id="118036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072409">
          <w:marLeft w:val="0"/>
          <w:marRight w:val="0"/>
          <w:marTop w:val="0"/>
          <w:marBottom w:val="0"/>
          <w:divBdr>
            <w:top w:val="none" w:sz="0" w:space="0" w:color="auto"/>
            <w:left w:val="none" w:sz="0" w:space="0" w:color="auto"/>
            <w:bottom w:val="none" w:sz="0" w:space="0" w:color="auto"/>
            <w:right w:val="none" w:sz="0" w:space="0" w:color="auto"/>
          </w:divBdr>
          <w:divsChild>
            <w:div w:id="644744997">
              <w:marLeft w:val="0"/>
              <w:marRight w:val="0"/>
              <w:marTop w:val="0"/>
              <w:marBottom w:val="0"/>
              <w:divBdr>
                <w:top w:val="single" w:sz="12" w:space="1" w:color="0B57D0"/>
                <w:left w:val="single" w:sz="12" w:space="2" w:color="0B57D0"/>
                <w:bottom w:val="single" w:sz="12" w:space="1" w:color="0B57D0"/>
                <w:right w:val="single" w:sz="12" w:space="2" w:color="0B57D0"/>
              </w:divBdr>
              <w:divsChild>
                <w:div w:id="34913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738906">
      <w:bodyDiv w:val="1"/>
      <w:marLeft w:val="0"/>
      <w:marRight w:val="0"/>
      <w:marTop w:val="0"/>
      <w:marBottom w:val="0"/>
      <w:divBdr>
        <w:top w:val="none" w:sz="0" w:space="0" w:color="auto"/>
        <w:left w:val="none" w:sz="0" w:space="0" w:color="auto"/>
        <w:bottom w:val="none" w:sz="0" w:space="0" w:color="auto"/>
        <w:right w:val="none" w:sz="0" w:space="0" w:color="auto"/>
      </w:divBdr>
    </w:div>
    <w:div w:id="1290477628">
      <w:bodyDiv w:val="1"/>
      <w:marLeft w:val="0"/>
      <w:marRight w:val="0"/>
      <w:marTop w:val="0"/>
      <w:marBottom w:val="0"/>
      <w:divBdr>
        <w:top w:val="none" w:sz="0" w:space="0" w:color="auto"/>
        <w:left w:val="none" w:sz="0" w:space="0" w:color="auto"/>
        <w:bottom w:val="none" w:sz="0" w:space="0" w:color="auto"/>
        <w:right w:val="none" w:sz="0" w:space="0" w:color="auto"/>
      </w:divBdr>
    </w:div>
    <w:div w:id="1294483207">
      <w:bodyDiv w:val="1"/>
      <w:marLeft w:val="0"/>
      <w:marRight w:val="0"/>
      <w:marTop w:val="0"/>
      <w:marBottom w:val="0"/>
      <w:divBdr>
        <w:top w:val="none" w:sz="0" w:space="0" w:color="auto"/>
        <w:left w:val="none" w:sz="0" w:space="0" w:color="auto"/>
        <w:bottom w:val="none" w:sz="0" w:space="0" w:color="auto"/>
        <w:right w:val="none" w:sz="0" w:space="0" w:color="auto"/>
      </w:divBdr>
    </w:div>
    <w:div w:id="1356615258">
      <w:bodyDiv w:val="1"/>
      <w:marLeft w:val="0"/>
      <w:marRight w:val="0"/>
      <w:marTop w:val="0"/>
      <w:marBottom w:val="0"/>
      <w:divBdr>
        <w:top w:val="none" w:sz="0" w:space="0" w:color="auto"/>
        <w:left w:val="none" w:sz="0" w:space="0" w:color="auto"/>
        <w:bottom w:val="none" w:sz="0" w:space="0" w:color="auto"/>
        <w:right w:val="none" w:sz="0" w:space="0" w:color="auto"/>
      </w:divBdr>
    </w:div>
    <w:div w:id="1492982279">
      <w:bodyDiv w:val="1"/>
      <w:marLeft w:val="0"/>
      <w:marRight w:val="0"/>
      <w:marTop w:val="0"/>
      <w:marBottom w:val="0"/>
      <w:divBdr>
        <w:top w:val="none" w:sz="0" w:space="0" w:color="auto"/>
        <w:left w:val="none" w:sz="0" w:space="0" w:color="auto"/>
        <w:bottom w:val="none" w:sz="0" w:space="0" w:color="auto"/>
        <w:right w:val="none" w:sz="0" w:space="0" w:color="auto"/>
      </w:divBdr>
    </w:div>
    <w:div w:id="1516848682">
      <w:bodyDiv w:val="1"/>
      <w:marLeft w:val="0"/>
      <w:marRight w:val="0"/>
      <w:marTop w:val="0"/>
      <w:marBottom w:val="0"/>
      <w:divBdr>
        <w:top w:val="none" w:sz="0" w:space="0" w:color="auto"/>
        <w:left w:val="none" w:sz="0" w:space="0" w:color="auto"/>
        <w:bottom w:val="none" w:sz="0" w:space="0" w:color="auto"/>
        <w:right w:val="none" w:sz="0" w:space="0" w:color="auto"/>
      </w:divBdr>
    </w:div>
    <w:div w:id="1561013674">
      <w:bodyDiv w:val="1"/>
      <w:marLeft w:val="0"/>
      <w:marRight w:val="0"/>
      <w:marTop w:val="0"/>
      <w:marBottom w:val="0"/>
      <w:divBdr>
        <w:top w:val="none" w:sz="0" w:space="0" w:color="auto"/>
        <w:left w:val="none" w:sz="0" w:space="0" w:color="auto"/>
        <w:bottom w:val="none" w:sz="0" w:space="0" w:color="auto"/>
        <w:right w:val="none" w:sz="0" w:space="0" w:color="auto"/>
      </w:divBdr>
    </w:div>
    <w:div w:id="1837108816">
      <w:bodyDiv w:val="1"/>
      <w:marLeft w:val="0"/>
      <w:marRight w:val="0"/>
      <w:marTop w:val="0"/>
      <w:marBottom w:val="0"/>
      <w:divBdr>
        <w:top w:val="none" w:sz="0" w:space="0" w:color="auto"/>
        <w:left w:val="none" w:sz="0" w:space="0" w:color="auto"/>
        <w:bottom w:val="none" w:sz="0" w:space="0" w:color="auto"/>
        <w:right w:val="none" w:sz="0" w:space="0" w:color="auto"/>
      </w:divBdr>
    </w:div>
    <w:div w:id="1838885215">
      <w:bodyDiv w:val="1"/>
      <w:marLeft w:val="0"/>
      <w:marRight w:val="0"/>
      <w:marTop w:val="0"/>
      <w:marBottom w:val="0"/>
      <w:divBdr>
        <w:top w:val="none" w:sz="0" w:space="0" w:color="auto"/>
        <w:left w:val="none" w:sz="0" w:space="0" w:color="auto"/>
        <w:bottom w:val="none" w:sz="0" w:space="0" w:color="auto"/>
        <w:right w:val="none" w:sz="0" w:space="0" w:color="auto"/>
      </w:divBdr>
    </w:div>
    <w:div w:id="1892376026">
      <w:bodyDiv w:val="1"/>
      <w:marLeft w:val="0"/>
      <w:marRight w:val="0"/>
      <w:marTop w:val="0"/>
      <w:marBottom w:val="0"/>
      <w:divBdr>
        <w:top w:val="none" w:sz="0" w:space="0" w:color="auto"/>
        <w:left w:val="none" w:sz="0" w:space="0" w:color="auto"/>
        <w:bottom w:val="none" w:sz="0" w:space="0" w:color="auto"/>
        <w:right w:val="none" w:sz="0" w:space="0" w:color="auto"/>
      </w:divBdr>
      <w:divsChild>
        <w:div w:id="36784600">
          <w:marLeft w:val="0"/>
          <w:marRight w:val="0"/>
          <w:marTop w:val="0"/>
          <w:marBottom w:val="0"/>
          <w:divBdr>
            <w:top w:val="dotted" w:sz="8" w:space="0" w:color="FFFFFF"/>
            <w:left w:val="dotted" w:sz="8" w:space="0" w:color="FFFFFF"/>
            <w:bottom w:val="dotted" w:sz="8" w:space="12" w:color="FFFFFF"/>
            <w:right w:val="dotted" w:sz="8" w:space="0" w:color="FFFFFF"/>
          </w:divBdr>
        </w:div>
      </w:divsChild>
    </w:div>
    <w:div w:id="1986662717">
      <w:bodyDiv w:val="1"/>
      <w:marLeft w:val="0"/>
      <w:marRight w:val="0"/>
      <w:marTop w:val="0"/>
      <w:marBottom w:val="0"/>
      <w:divBdr>
        <w:top w:val="none" w:sz="0" w:space="0" w:color="auto"/>
        <w:left w:val="none" w:sz="0" w:space="0" w:color="auto"/>
        <w:bottom w:val="none" w:sz="0" w:space="0" w:color="auto"/>
        <w:right w:val="none" w:sz="0" w:space="0" w:color="auto"/>
      </w:divBdr>
    </w:div>
    <w:div w:id="2112890836">
      <w:bodyDiv w:val="1"/>
      <w:marLeft w:val="0"/>
      <w:marRight w:val="0"/>
      <w:marTop w:val="0"/>
      <w:marBottom w:val="0"/>
      <w:divBdr>
        <w:top w:val="none" w:sz="0" w:space="0" w:color="auto"/>
        <w:left w:val="none" w:sz="0" w:space="0" w:color="auto"/>
        <w:bottom w:val="none" w:sz="0" w:space="0" w:color="auto"/>
        <w:right w:val="none" w:sz="0" w:space="0" w:color="auto"/>
      </w:divBdr>
    </w:div>
    <w:div w:id="212483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F0050D-FED5-4B20-A5EC-6BBC2F2CE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8</Pages>
  <Words>3014</Words>
  <Characters>17183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ngothibinh</dc:creator>
  <cp:lastModifiedBy>user1</cp:lastModifiedBy>
  <cp:revision>121</cp:revision>
  <cp:lastPrinted>2024-09-04T07:40:00Z</cp:lastPrinted>
  <dcterms:created xsi:type="dcterms:W3CDTF">2024-07-26T06:19:00Z</dcterms:created>
  <dcterms:modified xsi:type="dcterms:W3CDTF">2024-09-05T02:33:00Z</dcterms:modified>
</cp:coreProperties>
</file>